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81EB0" w:rsidRDefault="00181EB0" w14:paraId="32415CF6" w14:textId="77777777"/>
    <w:p w:rsidR="00A839F9" w:rsidP="00A839F9" w:rsidRDefault="00A839F9" w14:paraId="60F103B9" w14:textId="63B4685C">
      <w:pPr>
        <w:rPr>
          <w:b/>
          <w:bCs/>
        </w:rPr>
      </w:pPr>
      <w:r>
        <w:rPr>
          <w:b/>
          <w:bCs/>
        </w:rPr>
        <w:t xml:space="preserve">Appendix </w:t>
      </w:r>
      <w:r w:rsidR="001A3330">
        <w:rPr>
          <w:b/>
          <w:bCs/>
        </w:rPr>
        <w:t>D</w:t>
      </w:r>
      <w:r>
        <w:rPr>
          <w:b/>
          <w:bCs/>
        </w:rPr>
        <w:t xml:space="preserve">: </w:t>
      </w:r>
      <w:r w:rsidRPr="00CA23D1" w:rsidR="00E10411">
        <w:rPr>
          <w:b/>
          <w:bCs/>
        </w:rPr>
        <w:t>Cyber Risk Management</w:t>
      </w:r>
      <w:r w:rsidR="00E10411">
        <w:rPr>
          <w:b/>
          <w:bCs/>
        </w:rPr>
        <w:t xml:space="preserve"> Requirements for IT and Data Processing </w:t>
      </w:r>
      <w:r w:rsidRPr="00CA23D1" w:rsidR="00E10411">
        <w:rPr>
          <w:b/>
          <w:bCs/>
        </w:rPr>
        <w:t>Supplier</w:t>
      </w:r>
      <w:r w:rsidR="00E10411">
        <w:rPr>
          <w:b/>
          <w:bCs/>
        </w:rPr>
        <w:t>s</w:t>
      </w:r>
    </w:p>
    <w:p w:rsidR="00936334" w:rsidP="009822C2" w:rsidRDefault="00936334" w14:paraId="5E7F9415" w14:textId="77777777">
      <w:pPr>
        <w:rPr>
          <w:b/>
          <w:bCs/>
        </w:rPr>
      </w:pPr>
    </w:p>
    <w:p w:rsidRPr="009822C2" w:rsidR="009822C2" w:rsidP="009822C2" w:rsidRDefault="009822C2" w14:paraId="5F80566B" w14:textId="6185A108">
      <w:pPr>
        <w:rPr>
          <w:b/>
          <w:bCs/>
        </w:rPr>
      </w:pPr>
      <w:r w:rsidRPr="009822C2">
        <w:rPr>
          <w:b/>
          <w:bCs/>
        </w:rPr>
        <w:t>Cybersecurity Requirements and Evaluation Notice</w:t>
      </w:r>
    </w:p>
    <w:p w:rsidRPr="009822C2" w:rsidR="009822C2" w:rsidP="009822C2" w:rsidRDefault="009822C2" w14:paraId="5980291A" w14:textId="77777777">
      <w:pPr>
        <w:rPr>
          <w:b/>
          <w:bCs/>
        </w:rPr>
      </w:pPr>
      <w:r w:rsidRPr="009822C2">
        <w:rPr>
          <w:b/>
          <w:bCs/>
        </w:rPr>
        <w:t>Instructions: This section outlines FAME's cybersecurity expectations for bidders and recommended software platforms. Detailed documentation will be required only from finalist bidders during the presentation and alignment phases. Initial proposals should address these requirements at a high level to demonstrate understanding and capability.</w:t>
      </w:r>
    </w:p>
    <w:p w:rsidRPr="009822C2" w:rsidR="009822C2" w:rsidP="009822C2" w:rsidRDefault="00936334" w14:paraId="24B5A94E" w14:textId="77777777">
      <w:pPr>
        <w:rPr>
          <w:b/>
          <w:bCs/>
        </w:rPr>
      </w:pPr>
      <w:r>
        <w:rPr>
          <w:b/>
          <w:bCs/>
        </w:rPr>
        <w:pict w14:anchorId="2329E4A3">
          <v:rect id="_x0000_i1025" style="width:0;height:1.5pt" o:hr="t" o:hrstd="t" o:hralign="center" fillcolor="#a0a0a0" stroked="f"/>
        </w:pict>
      </w:r>
    </w:p>
    <w:p w:rsidRPr="009822C2" w:rsidR="009822C2" w:rsidP="009822C2" w:rsidRDefault="009822C2" w14:paraId="682CED86" w14:textId="77777777">
      <w:pPr>
        <w:rPr>
          <w:b/>
          <w:bCs/>
        </w:rPr>
      </w:pPr>
      <w:r w:rsidRPr="009822C2">
        <w:rPr>
          <w:b/>
          <w:bCs/>
        </w:rPr>
        <w:t>CYBERSECURITY EVALUATION FRAMEWORK</w:t>
      </w:r>
    </w:p>
    <w:p w:rsidRPr="009822C2" w:rsidR="009822C2" w:rsidP="009822C2" w:rsidRDefault="009822C2" w14:paraId="1EA125DE" w14:textId="77777777">
      <w:pPr>
        <w:rPr>
          <w:b/>
          <w:bCs/>
        </w:rPr>
      </w:pPr>
      <w:r w:rsidRPr="009822C2">
        <w:rPr>
          <w:b/>
          <w:bCs/>
        </w:rPr>
        <w:t>What We Will Evaluate:</w:t>
      </w:r>
    </w:p>
    <w:p w:rsidRPr="009822C2" w:rsidR="009822C2" w:rsidP="009822C2" w:rsidRDefault="009822C2" w14:paraId="2736769D" w14:textId="77777777">
      <w:pPr>
        <w:rPr>
          <w:b/>
          <w:bCs/>
        </w:rPr>
      </w:pPr>
      <w:r w:rsidRPr="009822C2">
        <w:rPr>
          <w:b/>
          <w:bCs/>
        </w:rPr>
        <w:t xml:space="preserve">FAME will assess bidders </w:t>
      </w:r>
      <w:proofErr w:type="gramStart"/>
      <w:r w:rsidRPr="009822C2">
        <w:rPr>
          <w:b/>
          <w:bCs/>
        </w:rPr>
        <w:t>on</w:t>
      </w:r>
      <w:proofErr w:type="gramEnd"/>
      <w:r w:rsidRPr="009822C2">
        <w:rPr>
          <w:b/>
          <w:bCs/>
        </w:rPr>
        <w:t xml:space="preserve"> two critical dimensions:</w:t>
      </w:r>
    </w:p>
    <w:p w:rsidRPr="009822C2" w:rsidR="009822C2" w:rsidP="009822C2" w:rsidRDefault="009822C2" w14:paraId="6F712B04" w14:textId="77777777">
      <w:pPr>
        <w:numPr>
          <w:ilvl w:val="0"/>
          <w:numId w:val="20"/>
        </w:numPr>
        <w:rPr>
          <w:b/>
          <w:bCs/>
        </w:rPr>
      </w:pPr>
      <w:r w:rsidRPr="009822C2">
        <w:rPr>
          <w:b/>
          <w:bCs/>
        </w:rPr>
        <w:t>Your organization's cybersecurity maturity as our trusted implementation partner</w:t>
      </w:r>
    </w:p>
    <w:p w:rsidRPr="009822C2" w:rsidR="009822C2" w:rsidP="009822C2" w:rsidRDefault="009822C2" w14:paraId="638C2B51" w14:textId="77777777">
      <w:pPr>
        <w:numPr>
          <w:ilvl w:val="0"/>
          <w:numId w:val="20"/>
        </w:numPr>
        <w:rPr>
          <w:b/>
          <w:bCs/>
        </w:rPr>
      </w:pPr>
      <w:r w:rsidRPr="009822C2">
        <w:rPr>
          <w:b/>
          <w:bCs/>
        </w:rPr>
        <w:t>The security posture of platforms you recommend for our technology modernization</w:t>
      </w:r>
    </w:p>
    <w:p w:rsidRPr="009822C2" w:rsidR="009822C2" w:rsidP="009822C2" w:rsidRDefault="00936334" w14:paraId="1366ADCD" w14:textId="77777777">
      <w:pPr>
        <w:rPr>
          <w:b/>
          <w:bCs/>
        </w:rPr>
      </w:pPr>
      <w:r>
        <w:rPr>
          <w:b/>
          <w:bCs/>
        </w:rPr>
        <w:pict w14:anchorId="19350DCB">
          <v:rect id="_x0000_i1026" style="width:0;height:1.5pt" o:hr="t" o:hrstd="t" o:hralign="center" fillcolor="#a0a0a0" stroked="f"/>
        </w:pict>
      </w:r>
    </w:p>
    <w:p w:rsidRPr="009822C2" w:rsidR="005C31B4" w:rsidP="005C31B4" w:rsidRDefault="005C31B4" w14:paraId="7429ECC4" w14:textId="77777777">
      <w:pPr>
        <w:rPr>
          <w:b/>
          <w:bCs/>
        </w:rPr>
      </w:pPr>
      <w:r w:rsidRPr="009822C2">
        <w:rPr>
          <w:b/>
          <w:bCs/>
        </w:rPr>
        <w:t>PROPOSAL RESPONSE REQUIREMENTS</w:t>
      </w:r>
    </w:p>
    <w:p w:rsidRPr="009822C2" w:rsidR="005C31B4" w:rsidP="005C31B4" w:rsidRDefault="005C31B4" w14:paraId="076D0A2D" w14:textId="77777777">
      <w:pPr>
        <w:rPr>
          <w:b/>
          <w:bCs/>
        </w:rPr>
      </w:pPr>
      <w:r w:rsidRPr="009822C2">
        <w:rPr>
          <w:b/>
          <w:bCs/>
        </w:rPr>
        <w:t>For Proposal Submission:</w:t>
      </w:r>
    </w:p>
    <w:p w:rsidRPr="009822C2" w:rsidR="005C31B4" w:rsidP="2A269D6E" w:rsidRDefault="005C31B4" w14:paraId="7D2C1445" w14:textId="77777777" w14:noSpellErr="1">
      <w:pPr>
        <w:rPr>
          <w:b w:val="1"/>
          <w:bCs w:val="1"/>
          <w:u w:val="single"/>
        </w:rPr>
      </w:pPr>
      <w:r w:rsidRPr="2A269D6E" w:rsidR="005C31B4">
        <w:rPr>
          <w:b w:val="1"/>
          <w:bCs w:val="1"/>
          <w:u w:val="single"/>
        </w:rPr>
        <w:t>Provide a brief narrative addressing:</w:t>
      </w:r>
    </w:p>
    <w:p w:rsidRPr="009822C2" w:rsidR="005C31B4" w:rsidP="005C31B4" w:rsidRDefault="005C31B4" w14:paraId="1F12968D" w14:textId="77777777">
      <w:pPr>
        <w:numPr>
          <w:ilvl w:val="0"/>
          <w:numId w:val="30"/>
        </w:numPr>
      </w:pPr>
      <w:r w:rsidRPr="009822C2">
        <w:t>Security Philosophy: How cybersecurity is integrated into your methodology and platform recommendations</w:t>
      </w:r>
    </w:p>
    <w:p w:rsidRPr="009822C2" w:rsidR="005C31B4" w:rsidP="005C31B4" w:rsidRDefault="005C31B4" w14:paraId="27265FE3" w14:textId="77777777">
      <w:pPr>
        <w:numPr>
          <w:ilvl w:val="0"/>
          <w:numId w:val="30"/>
        </w:numPr>
      </w:pPr>
      <w:r w:rsidRPr="009822C2">
        <w:t>Organizational Qualifications: Summary of your security certifications, capabilities, and relevant experience</w:t>
      </w:r>
    </w:p>
    <w:p w:rsidRPr="009822C2" w:rsidR="005C31B4" w:rsidP="005C31B4" w:rsidRDefault="005C31B4" w14:paraId="063957F1" w14:textId="77777777">
      <w:pPr>
        <w:numPr>
          <w:ilvl w:val="0"/>
          <w:numId w:val="30"/>
        </w:numPr>
      </w:pPr>
      <w:r w:rsidRPr="009822C2">
        <w:t>Platform Security Approach: High-level description of how you evaluate and ensure platform security</w:t>
      </w:r>
    </w:p>
    <w:p w:rsidRPr="009822C2" w:rsidR="005C31B4" w:rsidP="005C31B4" w:rsidRDefault="005C31B4" w14:paraId="60EF6F2C" w14:textId="77777777">
      <w:pPr>
        <w:numPr>
          <w:ilvl w:val="0"/>
          <w:numId w:val="30"/>
        </w:numPr>
      </w:pPr>
      <w:r w:rsidRPr="009822C2">
        <w:t xml:space="preserve">Risk Management: How you identify, assess, and mitigate cybersecurity risks during </w:t>
      </w:r>
      <w:r>
        <w:t xml:space="preserve">design and </w:t>
      </w:r>
      <w:r w:rsidRPr="009822C2">
        <w:t>implementation</w:t>
      </w:r>
    </w:p>
    <w:p w:rsidRPr="00437DF4" w:rsidR="005C31B4" w:rsidP="005C31B4" w:rsidRDefault="005C31B4" w14:paraId="5C88D4C8" w14:textId="77777777">
      <w:pPr>
        <w:numPr>
          <w:ilvl w:val="0"/>
          <w:numId w:val="30"/>
        </w:numPr>
        <w:rPr>
          <w:b/>
          <w:bCs/>
        </w:rPr>
      </w:pPr>
      <w:r w:rsidRPr="009822C2">
        <w:t>Compliance Experience: Examples of similar projects in regulated environments</w:t>
      </w:r>
    </w:p>
    <w:p w:rsidRPr="009822C2" w:rsidR="005C31B4" w:rsidP="005C31B4" w:rsidRDefault="005C31B4" w14:paraId="0857E8C8" w14:textId="77777777">
      <w:pPr>
        <w:numPr>
          <w:ilvl w:val="0"/>
          <w:numId w:val="30"/>
        </w:numPr>
        <w:rPr>
          <w:b/>
          <w:bCs/>
        </w:rPr>
      </w:pPr>
      <w:r>
        <w:t>Note exceptions in the ability of recommended platforms to meet listed security standards.</w:t>
      </w:r>
    </w:p>
    <w:p w:rsidRPr="00936334" w:rsidR="005C31B4" w:rsidP="00936334" w:rsidRDefault="00936334" w14:paraId="1A2976BE" w14:textId="77777777">
      <w:pPr>
        <w:rPr>
          <w:b/>
          <w:bCs/>
        </w:rPr>
      </w:pPr>
      <w:r>
        <w:pict w14:anchorId="39A8C20E">
          <v:rect id="_x0000_i1027" style="width:0;height:1.5pt" o:hr="t" o:hrstd="t" o:hralign="center" fillcolor="#a0a0a0" stroked="f"/>
        </w:pict>
      </w:r>
    </w:p>
    <w:p w:rsidRPr="009822C2" w:rsidR="009822C2" w:rsidP="009822C2" w:rsidRDefault="009822C2" w14:paraId="6526501C" w14:textId="19D041F0">
      <w:pPr>
        <w:rPr>
          <w:b/>
          <w:bCs/>
        </w:rPr>
      </w:pPr>
      <w:r w:rsidRPr="009822C2">
        <w:rPr>
          <w:b/>
          <w:bCs/>
        </w:rPr>
        <w:t>SECTION 1: BIDDER ORGANIZATION SECURITY REQUIREMENTS</w:t>
      </w:r>
    </w:p>
    <w:p w:rsidRPr="009822C2" w:rsidR="009822C2" w:rsidP="009822C2" w:rsidRDefault="009822C2" w14:paraId="09DC3CAF" w14:textId="77777777">
      <w:pPr>
        <w:rPr>
          <w:b/>
          <w:bCs/>
        </w:rPr>
      </w:pPr>
      <w:r w:rsidRPr="009822C2">
        <w:rPr>
          <w:b/>
          <w:bCs/>
        </w:rPr>
        <w:t>1.1 Baseline Security Expectations</w:t>
      </w:r>
    </w:p>
    <w:p w:rsidRPr="009822C2" w:rsidR="009822C2" w:rsidP="009822C2" w:rsidRDefault="009822C2" w14:paraId="6110B860" w14:textId="77777777">
      <w:pPr>
        <w:rPr>
          <w:b/>
          <w:bCs/>
        </w:rPr>
      </w:pPr>
      <w:r w:rsidRPr="009822C2">
        <w:rPr>
          <w:b/>
          <w:bCs/>
        </w:rPr>
        <w:t>In your proposal, confirm that your organization maintains:</w:t>
      </w:r>
    </w:p>
    <w:p w:rsidRPr="009822C2" w:rsidR="009822C2" w:rsidP="009822C2" w:rsidRDefault="009822C2" w14:paraId="597E1A8F" w14:textId="77777777">
      <w:pPr>
        <w:numPr>
          <w:ilvl w:val="0"/>
          <w:numId w:val="21"/>
        </w:numPr>
      </w:pPr>
      <w:r w:rsidRPr="009822C2">
        <w:t>Documented cybersecurity program with annual reviews and testing</w:t>
      </w:r>
    </w:p>
    <w:p w:rsidRPr="009822C2" w:rsidR="009822C2" w:rsidP="009822C2" w:rsidRDefault="009822C2" w14:paraId="55CDB810" w14:textId="77777777">
      <w:pPr>
        <w:numPr>
          <w:ilvl w:val="0"/>
          <w:numId w:val="21"/>
        </w:numPr>
      </w:pPr>
      <w:r w:rsidRPr="009822C2">
        <w:t>Third-party security validation (SOC 2 Type II, ISO 27001, or equivalent)</w:t>
      </w:r>
    </w:p>
    <w:p w:rsidRPr="009822C2" w:rsidR="009822C2" w:rsidP="009822C2" w:rsidRDefault="009822C2" w14:paraId="501B2F07" w14:textId="77777777">
      <w:pPr>
        <w:numPr>
          <w:ilvl w:val="0"/>
          <w:numId w:val="21"/>
        </w:numPr>
      </w:pPr>
      <w:r w:rsidRPr="009822C2">
        <w:t>Cyber liability insurance with minimum $5M coverage</w:t>
      </w:r>
    </w:p>
    <w:p w:rsidRPr="009822C2" w:rsidR="009822C2" w:rsidP="009822C2" w:rsidRDefault="00CF4CE2" w14:paraId="3DE80AFE" w14:textId="0E1B2B2B">
      <w:pPr>
        <w:numPr>
          <w:ilvl w:val="0"/>
          <w:numId w:val="21"/>
        </w:numPr>
      </w:pPr>
      <w:r>
        <w:t>I</w:t>
      </w:r>
      <w:r w:rsidRPr="009822C2" w:rsidR="009822C2">
        <w:t>ncident response capability with client notification protocols</w:t>
      </w:r>
    </w:p>
    <w:p w:rsidRPr="009822C2" w:rsidR="009822C2" w:rsidP="009822C2" w:rsidRDefault="009822C2" w14:paraId="09FA77E3" w14:textId="4353C346">
      <w:pPr>
        <w:numPr>
          <w:ilvl w:val="0"/>
          <w:numId w:val="21"/>
        </w:numPr>
      </w:pPr>
      <w:r w:rsidRPr="009822C2">
        <w:t>Secure development practices for custom code development</w:t>
      </w:r>
    </w:p>
    <w:p w:rsidRPr="009822C2" w:rsidR="009822C2" w:rsidP="009822C2" w:rsidRDefault="009822C2" w14:paraId="68D5E91F" w14:textId="77777777">
      <w:pPr>
        <w:numPr>
          <w:ilvl w:val="0"/>
          <w:numId w:val="21"/>
        </w:numPr>
      </w:pPr>
      <w:r w:rsidRPr="009822C2">
        <w:t>Data encryption standards for data at rest and in transit</w:t>
      </w:r>
    </w:p>
    <w:p w:rsidR="009822C2" w:rsidP="009822C2" w:rsidRDefault="009822C2" w14:paraId="715D4A29" w14:textId="0B4ECED0">
      <w:pPr>
        <w:numPr>
          <w:ilvl w:val="0"/>
          <w:numId w:val="21"/>
        </w:numPr>
      </w:pPr>
      <w:r w:rsidRPr="009822C2">
        <w:t xml:space="preserve">Multi-factor authentication for all </w:t>
      </w:r>
      <w:r w:rsidRPr="009822C2" w:rsidR="0031210E">
        <w:t>employees</w:t>
      </w:r>
      <w:r w:rsidRPr="009822C2">
        <w:t xml:space="preserve"> and client system access</w:t>
      </w:r>
    </w:p>
    <w:p w:rsidRPr="009822C2" w:rsidR="000B1429" w:rsidP="000B1429" w:rsidRDefault="000B1429" w14:paraId="79087595" w14:textId="77777777">
      <w:pPr>
        <w:ind w:left="720"/>
      </w:pPr>
    </w:p>
    <w:p w:rsidRPr="009822C2" w:rsidR="009822C2" w:rsidP="009822C2" w:rsidRDefault="009822C2" w14:paraId="22F3096C" w14:textId="77777777">
      <w:pPr>
        <w:rPr>
          <w:b/>
          <w:bCs/>
        </w:rPr>
      </w:pPr>
      <w:r w:rsidRPr="009822C2">
        <w:rPr>
          <w:b/>
          <w:bCs/>
        </w:rPr>
        <w:t>1.2 Data Migration Security Capabilities</w:t>
      </w:r>
    </w:p>
    <w:p w:rsidRPr="009822C2" w:rsidR="009822C2" w:rsidP="009822C2" w:rsidRDefault="009822C2" w14:paraId="60BD37E5" w14:textId="77777777">
      <w:pPr>
        <w:rPr>
          <w:b/>
          <w:bCs/>
        </w:rPr>
      </w:pPr>
      <w:r w:rsidRPr="009822C2">
        <w:rPr>
          <w:b/>
          <w:bCs/>
        </w:rPr>
        <w:t>Confirm your organization has:</w:t>
      </w:r>
    </w:p>
    <w:p w:rsidRPr="009822C2" w:rsidR="009822C2" w:rsidP="009822C2" w:rsidRDefault="009822C2" w14:paraId="561626DB" w14:textId="77777777">
      <w:pPr>
        <w:numPr>
          <w:ilvl w:val="0"/>
          <w:numId w:val="22"/>
        </w:numPr>
      </w:pPr>
      <w:r w:rsidRPr="009822C2">
        <w:t>Proven data migration methodology for regulated environments</w:t>
      </w:r>
    </w:p>
    <w:p w:rsidRPr="009822C2" w:rsidR="009822C2" w:rsidP="009822C2" w:rsidRDefault="009822C2" w14:paraId="2ADD7128" w14:textId="77777777">
      <w:pPr>
        <w:numPr>
          <w:ilvl w:val="0"/>
          <w:numId w:val="22"/>
        </w:numPr>
      </w:pPr>
      <w:r w:rsidRPr="009822C2">
        <w:t>Experience with financial services and educational data (FERPA, GLBA compliance)</w:t>
      </w:r>
    </w:p>
    <w:p w:rsidRPr="009822C2" w:rsidR="009822C2" w:rsidP="009822C2" w:rsidRDefault="009822C2" w14:paraId="0C4ADDF5" w14:textId="77777777">
      <w:pPr>
        <w:numPr>
          <w:ilvl w:val="0"/>
          <w:numId w:val="22"/>
        </w:numPr>
      </w:pPr>
      <w:r w:rsidRPr="009822C2">
        <w:t>Segregated migration environments with enhanced monitoring</w:t>
      </w:r>
    </w:p>
    <w:p w:rsidRPr="009822C2" w:rsidR="009822C2" w:rsidP="009822C2" w:rsidRDefault="009822C2" w14:paraId="2F31ABFD" w14:textId="77777777">
      <w:pPr>
        <w:numPr>
          <w:ilvl w:val="0"/>
          <w:numId w:val="22"/>
        </w:numPr>
      </w:pPr>
      <w:r w:rsidRPr="009822C2">
        <w:t>Data masking/synthetic data capabilities for testing</w:t>
      </w:r>
    </w:p>
    <w:p w:rsidRPr="009822C2" w:rsidR="009822C2" w:rsidP="009822C2" w:rsidRDefault="009822C2" w14:paraId="1F9FD44A" w14:textId="77777777">
      <w:pPr>
        <w:numPr>
          <w:ilvl w:val="0"/>
          <w:numId w:val="22"/>
        </w:numPr>
      </w:pPr>
      <w:r w:rsidRPr="009822C2">
        <w:t>Secure data destruction procedures with certification</w:t>
      </w:r>
    </w:p>
    <w:p w:rsidR="009822C2" w:rsidP="009822C2" w:rsidRDefault="009822C2" w14:paraId="519FEA62" w14:textId="77777777">
      <w:pPr>
        <w:numPr>
          <w:ilvl w:val="0"/>
          <w:numId w:val="22"/>
        </w:numPr>
      </w:pPr>
      <w:r w:rsidRPr="009822C2">
        <w:t>Real-time migration monitoring and rollback capabilities</w:t>
      </w:r>
    </w:p>
    <w:p w:rsidRPr="009822C2" w:rsidR="000B1429" w:rsidP="000B1429" w:rsidRDefault="000B1429" w14:paraId="44440875" w14:textId="77777777">
      <w:pPr>
        <w:ind w:left="720"/>
      </w:pPr>
    </w:p>
    <w:p w:rsidRPr="009822C2" w:rsidR="009822C2" w:rsidP="009822C2" w:rsidRDefault="009822C2" w14:paraId="7EEF80B9" w14:textId="77777777">
      <w:pPr>
        <w:rPr>
          <w:b/>
          <w:bCs/>
        </w:rPr>
      </w:pPr>
      <w:r w:rsidRPr="009822C2">
        <w:rPr>
          <w:b/>
          <w:bCs/>
        </w:rPr>
        <w:t>1.3 What Finalists Will Provide</w:t>
      </w:r>
    </w:p>
    <w:p w:rsidRPr="009822C2" w:rsidR="009822C2" w:rsidP="009822C2" w:rsidRDefault="009822C2" w14:paraId="452A3237" w14:textId="6D6C9ED4">
      <w:pPr>
        <w:rPr>
          <w:b/>
          <w:bCs/>
        </w:rPr>
      </w:pPr>
      <w:r w:rsidRPr="009822C2">
        <w:rPr>
          <w:b/>
          <w:bCs/>
        </w:rPr>
        <w:t>Selected finalists will be required to provide detailed evidence</w:t>
      </w:r>
      <w:r w:rsidR="00CF4CE2">
        <w:rPr>
          <w:b/>
          <w:bCs/>
        </w:rPr>
        <w:t>,</w:t>
      </w:r>
      <w:r w:rsidRPr="009822C2">
        <w:rPr>
          <w:b/>
          <w:bCs/>
        </w:rPr>
        <w:t xml:space="preserve"> including:</w:t>
      </w:r>
    </w:p>
    <w:p w:rsidRPr="009822C2" w:rsidR="009822C2" w:rsidP="009822C2" w:rsidRDefault="009822C2" w14:paraId="7ED54F4E" w14:textId="7F77262C">
      <w:pPr>
        <w:numPr>
          <w:ilvl w:val="0"/>
          <w:numId w:val="23"/>
        </w:numPr>
      </w:pPr>
      <w:r w:rsidRPr="009822C2">
        <w:t xml:space="preserve">Current </w:t>
      </w:r>
      <w:r w:rsidR="00CF4CE2">
        <w:t>third-party security validation (</w:t>
      </w:r>
      <w:r w:rsidRPr="009822C2">
        <w:t>SOC 2 Type II report</w:t>
      </w:r>
      <w:r w:rsidR="00CF4CE2">
        <w:t>, ISO 27001, or equivalent)</w:t>
      </w:r>
    </w:p>
    <w:p w:rsidRPr="009822C2" w:rsidR="009822C2" w:rsidP="009822C2" w:rsidRDefault="009822C2" w14:paraId="58504FAE" w14:textId="77777777">
      <w:pPr>
        <w:numPr>
          <w:ilvl w:val="0"/>
          <w:numId w:val="23"/>
        </w:numPr>
      </w:pPr>
      <w:r w:rsidRPr="009822C2">
        <w:t>Data migration security methodology documentation</w:t>
      </w:r>
    </w:p>
    <w:p w:rsidRPr="009822C2" w:rsidR="009822C2" w:rsidP="009822C2" w:rsidRDefault="009822C2" w14:paraId="1C0DB93A" w14:textId="77777777">
      <w:pPr>
        <w:numPr>
          <w:ilvl w:val="0"/>
          <w:numId w:val="23"/>
        </w:numPr>
      </w:pPr>
      <w:r w:rsidRPr="009822C2">
        <w:t>Incident response plan and recent testing results</w:t>
      </w:r>
    </w:p>
    <w:p w:rsidRPr="009822C2" w:rsidR="009822C2" w:rsidP="009822C2" w:rsidRDefault="009822C2" w14:paraId="5587B8F1" w14:textId="77777777">
      <w:pPr>
        <w:numPr>
          <w:ilvl w:val="0"/>
          <w:numId w:val="23"/>
        </w:numPr>
      </w:pPr>
      <w:r w:rsidRPr="009822C2">
        <w:t>Insurance certificates and coverage details</w:t>
      </w:r>
    </w:p>
    <w:p w:rsidR="000B1429" w:rsidP="009822C2" w:rsidRDefault="000B1429" w14:paraId="41D41138" w14:textId="77777777">
      <w:pPr>
        <w:rPr>
          <w:b/>
          <w:bCs/>
        </w:rPr>
      </w:pPr>
    </w:p>
    <w:p w:rsidRPr="009822C2" w:rsidR="009822C2" w:rsidP="009822C2" w:rsidRDefault="00936334" w14:paraId="7613E04A" w14:textId="0105427B">
      <w:pPr>
        <w:rPr>
          <w:b/>
          <w:bCs/>
        </w:rPr>
      </w:pPr>
      <w:r>
        <w:rPr>
          <w:b/>
          <w:bCs/>
        </w:rPr>
        <w:pict w14:anchorId="235EF0A7">
          <v:rect id="_x0000_i1028" style="width:0;height:1.5pt" o:hr="t" o:hrstd="t" o:hralign="center" fillcolor="#a0a0a0" stroked="f"/>
        </w:pict>
      </w:r>
    </w:p>
    <w:p w:rsidRPr="009822C2" w:rsidR="009822C2" w:rsidP="009822C2" w:rsidRDefault="009822C2" w14:paraId="73907D9A" w14:textId="77777777">
      <w:pPr>
        <w:rPr>
          <w:b/>
          <w:bCs/>
        </w:rPr>
      </w:pPr>
      <w:r w:rsidRPr="009822C2">
        <w:rPr>
          <w:b/>
          <w:bCs/>
        </w:rPr>
        <w:t>SECTION 2: RECOMMENDED PLATFORM SECURITY REQUIREMENTS</w:t>
      </w:r>
    </w:p>
    <w:p w:rsidRPr="009822C2" w:rsidR="009822C2" w:rsidP="009822C2" w:rsidRDefault="009822C2" w14:paraId="092F6D91" w14:textId="77777777">
      <w:pPr>
        <w:rPr>
          <w:b/>
          <w:bCs/>
        </w:rPr>
      </w:pPr>
      <w:r w:rsidRPr="009822C2">
        <w:rPr>
          <w:b/>
          <w:bCs/>
        </w:rPr>
        <w:t>2.1 Platform Security Standards</w:t>
      </w:r>
    </w:p>
    <w:p w:rsidRPr="009822C2" w:rsidR="009822C2" w:rsidP="009822C2" w:rsidRDefault="009822C2" w14:paraId="7B8B0773" w14:textId="77777777">
      <w:pPr>
        <w:rPr>
          <w:b/>
          <w:bCs/>
        </w:rPr>
      </w:pPr>
      <w:r w:rsidRPr="009822C2">
        <w:rPr>
          <w:b/>
          <w:bCs/>
        </w:rPr>
        <w:t>For each software platform you recommend, confirm it meets:</w:t>
      </w:r>
    </w:p>
    <w:p w:rsidRPr="009822C2" w:rsidR="009822C2" w:rsidP="009822C2" w:rsidRDefault="009822C2" w14:paraId="1FA9B453" w14:textId="77777777">
      <w:pPr>
        <w:numPr>
          <w:ilvl w:val="0"/>
          <w:numId w:val="24"/>
        </w:numPr>
      </w:pPr>
      <w:r w:rsidRPr="009822C2">
        <w:t>SOC 2 Type II compliance (or equivalent security framework)</w:t>
      </w:r>
    </w:p>
    <w:p w:rsidRPr="009822C2" w:rsidR="009822C2" w:rsidP="009822C2" w:rsidRDefault="009822C2" w14:paraId="4C779D35" w14:textId="77777777">
      <w:pPr>
        <w:numPr>
          <w:ilvl w:val="0"/>
          <w:numId w:val="24"/>
        </w:numPr>
      </w:pPr>
      <w:r w:rsidRPr="009822C2">
        <w:t>Enterprise-grade encryption for data at rest and in transit</w:t>
      </w:r>
    </w:p>
    <w:p w:rsidRPr="009822C2" w:rsidR="009822C2" w:rsidP="009822C2" w:rsidRDefault="009822C2" w14:paraId="23D6D7EB" w14:textId="77777777">
      <w:pPr>
        <w:numPr>
          <w:ilvl w:val="0"/>
          <w:numId w:val="24"/>
        </w:numPr>
      </w:pPr>
      <w:r w:rsidRPr="009822C2">
        <w:t>Role-based access controls with SSO/SAML integration</w:t>
      </w:r>
    </w:p>
    <w:p w:rsidRPr="009822C2" w:rsidR="009822C2" w:rsidP="009822C2" w:rsidRDefault="009822C2" w14:paraId="042607CD" w14:textId="77777777">
      <w:pPr>
        <w:numPr>
          <w:ilvl w:val="0"/>
          <w:numId w:val="24"/>
        </w:numPr>
      </w:pPr>
      <w:r w:rsidRPr="009822C2">
        <w:t>Comprehensive audit logging with retention and monitoring</w:t>
      </w:r>
    </w:p>
    <w:p w:rsidRPr="009822C2" w:rsidR="009822C2" w:rsidP="009822C2" w:rsidRDefault="009822C2" w14:paraId="4205E424" w14:textId="77777777">
      <w:pPr>
        <w:numPr>
          <w:ilvl w:val="0"/>
          <w:numId w:val="24"/>
        </w:numPr>
      </w:pPr>
      <w:r w:rsidRPr="009822C2">
        <w:t>Regular penetration testing and vulnerability assessments</w:t>
      </w:r>
    </w:p>
    <w:p w:rsidRPr="009822C2" w:rsidR="009822C2" w:rsidP="009822C2" w:rsidRDefault="009822C2" w14:paraId="770E1A68" w14:textId="77777777">
      <w:pPr>
        <w:numPr>
          <w:ilvl w:val="0"/>
          <w:numId w:val="24"/>
        </w:numPr>
      </w:pPr>
      <w:r w:rsidRPr="009822C2">
        <w:t>Data portability and deletion capabilities for vendor independence</w:t>
      </w:r>
    </w:p>
    <w:p w:rsidRPr="000B1429" w:rsidR="009822C2" w:rsidP="009822C2" w:rsidRDefault="009822C2" w14:paraId="7318061C" w14:textId="77777777">
      <w:pPr>
        <w:numPr>
          <w:ilvl w:val="0"/>
          <w:numId w:val="24"/>
        </w:numPr>
        <w:rPr>
          <w:b/>
          <w:bCs/>
        </w:rPr>
      </w:pPr>
      <w:r w:rsidRPr="009822C2">
        <w:t>Incident response and business continuity plans</w:t>
      </w:r>
    </w:p>
    <w:p w:rsidRPr="009822C2" w:rsidR="000B1429" w:rsidP="000B1429" w:rsidRDefault="000B1429" w14:paraId="0997957F" w14:textId="77777777">
      <w:pPr>
        <w:ind w:left="720"/>
        <w:rPr>
          <w:b/>
          <w:bCs/>
        </w:rPr>
      </w:pPr>
    </w:p>
    <w:p w:rsidRPr="009822C2" w:rsidR="009822C2" w:rsidP="009822C2" w:rsidRDefault="009822C2" w14:paraId="7BAF4399" w14:textId="77777777">
      <w:pPr>
        <w:rPr>
          <w:b/>
          <w:bCs/>
        </w:rPr>
      </w:pPr>
      <w:r w:rsidRPr="009822C2">
        <w:rPr>
          <w:b/>
          <w:bCs/>
        </w:rPr>
        <w:t>2.2 Shared Responsibility Model</w:t>
      </w:r>
    </w:p>
    <w:p w:rsidRPr="009822C2" w:rsidR="009822C2" w:rsidP="009822C2" w:rsidRDefault="009822C2" w14:paraId="0DC14649" w14:textId="77777777">
      <w:pPr>
        <w:rPr>
          <w:b/>
          <w:bCs/>
        </w:rPr>
      </w:pPr>
      <w:r w:rsidRPr="009822C2">
        <w:rPr>
          <w:b/>
          <w:bCs/>
        </w:rPr>
        <w:t>For cloud-based platforms, demonstrate understanding of:</w:t>
      </w:r>
    </w:p>
    <w:p w:rsidR="00EC74E3" w:rsidP="009822C2" w:rsidRDefault="00EC74E3" w14:paraId="0EF73D20" w14:textId="77777777">
      <w:pPr>
        <w:numPr>
          <w:ilvl w:val="0"/>
          <w:numId w:val="25"/>
        </w:numPr>
      </w:pPr>
      <w:r>
        <w:t>Well-Architected Framework implementation guidelines</w:t>
      </w:r>
    </w:p>
    <w:p w:rsidRPr="009822C2" w:rsidR="009822C2" w:rsidP="009822C2" w:rsidRDefault="009822C2" w14:paraId="4AB2222E" w14:textId="2B9BB18D">
      <w:pPr>
        <w:numPr>
          <w:ilvl w:val="0"/>
          <w:numId w:val="25"/>
        </w:numPr>
      </w:pPr>
      <w:r w:rsidRPr="009822C2">
        <w:t>Clear delineation of vendor vs. client security responsibilities</w:t>
      </w:r>
    </w:p>
    <w:p w:rsidRPr="009822C2" w:rsidR="009822C2" w:rsidP="009822C2" w:rsidRDefault="009822C2" w14:paraId="2ED61960" w14:textId="77777777">
      <w:pPr>
        <w:numPr>
          <w:ilvl w:val="0"/>
          <w:numId w:val="25"/>
        </w:numPr>
      </w:pPr>
      <w:r w:rsidRPr="009822C2">
        <w:t>FAME's obligations for configuration, access management, and monitoring</w:t>
      </w:r>
    </w:p>
    <w:p w:rsidRPr="009822C2" w:rsidR="009822C2" w:rsidP="009822C2" w:rsidRDefault="009822C2" w14:paraId="66984978" w14:textId="77777777">
      <w:pPr>
        <w:numPr>
          <w:ilvl w:val="0"/>
          <w:numId w:val="25"/>
        </w:numPr>
      </w:pPr>
      <w:r w:rsidRPr="009822C2">
        <w:t>Integration requirements with FAME's identity and security systems</w:t>
      </w:r>
    </w:p>
    <w:p w:rsidRPr="009822C2" w:rsidR="009822C2" w:rsidP="009822C2" w:rsidRDefault="009822C2" w14:paraId="7B477960" w14:textId="77777777">
      <w:pPr>
        <w:numPr>
          <w:ilvl w:val="0"/>
          <w:numId w:val="25"/>
        </w:numPr>
      </w:pPr>
      <w:r w:rsidRPr="009822C2">
        <w:t>Compliance reporting capabilities for regulatory requirements</w:t>
      </w:r>
    </w:p>
    <w:p w:rsidRPr="000B1429" w:rsidR="009822C2" w:rsidP="009822C2" w:rsidRDefault="009822C2" w14:paraId="00085097" w14:textId="77777777">
      <w:pPr>
        <w:numPr>
          <w:ilvl w:val="0"/>
          <w:numId w:val="25"/>
        </w:numPr>
        <w:rPr>
          <w:b/>
          <w:bCs/>
        </w:rPr>
      </w:pPr>
      <w:r w:rsidRPr="009822C2">
        <w:t>Data residency and sovereignty controls</w:t>
      </w:r>
    </w:p>
    <w:p w:rsidRPr="009822C2" w:rsidR="000B1429" w:rsidP="000B1429" w:rsidRDefault="000B1429" w14:paraId="47CE4092" w14:textId="77777777">
      <w:pPr>
        <w:ind w:left="720"/>
        <w:rPr>
          <w:b/>
          <w:bCs/>
        </w:rPr>
      </w:pPr>
    </w:p>
    <w:p w:rsidRPr="009822C2" w:rsidR="009822C2" w:rsidP="009822C2" w:rsidRDefault="009822C2" w14:paraId="5A0855F2" w14:textId="77777777">
      <w:pPr>
        <w:rPr>
          <w:b/>
          <w:bCs/>
        </w:rPr>
      </w:pPr>
      <w:r w:rsidRPr="009822C2">
        <w:rPr>
          <w:b/>
          <w:bCs/>
        </w:rPr>
        <w:t>2.3 What Finalists Will Provide</w:t>
      </w:r>
    </w:p>
    <w:p w:rsidRPr="009822C2" w:rsidR="009822C2" w:rsidP="009822C2" w:rsidRDefault="009822C2" w14:paraId="0CD5FB63" w14:textId="77777777">
      <w:pPr>
        <w:rPr>
          <w:b/>
          <w:bCs/>
        </w:rPr>
      </w:pPr>
      <w:r w:rsidRPr="009822C2">
        <w:rPr>
          <w:b/>
          <w:bCs/>
        </w:rPr>
        <w:t>Selected finalists will be required to provide:</w:t>
      </w:r>
    </w:p>
    <w:p w:rsidRPr="009822C2" w:rsidR="009822C2" w:rsidP="009822C2" w:rsidRDefault="009822C2" w14:paraId="0819B73F" w14:textId="77777777">
      <w:pPr>
        <w:numPr>
          <w:ilvl w:val="0"/>
          <w:numId w:val="26"/>
        </w:numPr>
      </w:pPr>
      <w:r w:rsidRPr="009822C2">
        <w:t>Security assessment summary for each recommended platform</w:t>
      </w:r>
    </w:p>
    <w:p w:rsidRPr="009822C2" w:rsidR="009822C2" w:rsidP="009822C2" w:rsidRDefault="009822C2" w14:paraId="5D979ACA" w14:textId="6A59F4CA">
      <w:pPr>
        <w:numPr>
          <w:ilvl w:val="0"/>
          <w:numId w:val="26"/>
        </w:numPr>
      </w:pPr>
      <w:r w:rsidRPr="009822C2">
        <w:t xml:space="preserve">Shared responsibility </w:t>
      </w:r>
      <w:r w:rsidRPr="009822C2" w:rsidR="00EC74E3">
        <w:t>m</w:t>
      </w:r>
      <w:r w:rsidR="00EC74E3">
        <w:t>odels</w:t>
      </w:r>
      <w:r w:rsidRPr="009822C2" w:rsidR="00EC74E3">
        <w:t xml:space="preserve"> </w:t>
      </w:r>
      <w:r w:rsidRPr="009822C2">
        <w:t>for all cloud services</w:t>
      </w:r>
    </w:p>
    <w:p w:rsidRPr="009822C2" w:rsidR="009822C2" w:rsidP="009822C2" w:rsidRDefault="009822C2" w14:paraId="1C1A2C59" w14:textId="77777777">
      <w:pPr>
        <w:numPr>
          <w:ilvl w:val="0"/>
          <w:numId w:val="26"/>
        </w:numPr>
      </w:pPr>
      <w:r w:rsidRPr="009822C2">
        <w:t>Platform vendor security documentation and certifications</w:t>
      </w:r>
    </w:p>
    <w:p w:rsidRPr="009822C2" w:rsidR="009822C2" w:rsidP="009822C2" w:rsidRDefault="009822C2" w14:paraId="33241A90" w14:textId="77777777">
      <w:pPr>
        <w:numPr>
          <w:ilvl w:val="0"/>
          <w:numId w:val="26"/>
        </w:numPr>
      </w:pPr>
      <w:r w:rsidRPr="009822C2">
        <w:t>Risk assessment identifying any security gaps and mitigation strategies</w:t>
      </w:r>
    </w:p>
    <w:p w:rsidRPr="009822C2" w:rsidR="009822C2" w:rsidP="009822C2" w:rsidRDefault="009822C2" w14:paraId="0B1BE40D" w14:textId="77777777">
      <w:pPr>
        <w:numPr>
          <w:ilvl w:val="0"/>
          <w:numId w:val="26"/>
        </w:numPr>
      </w:pPr>
      <w:proofErr w:type="gramStart"/>
      <w:r w:rsidRPr="009822C2">
        <w:t>Integration</w:t>
      </w:r>
      <w:proofErr w:type="gramEnd"/>
      <w:r w:rsidRPr="009822C2">
        <w:t xml:space="preserve"> architecture showing security controls and data flows</w:t>
      </w:r>
    </w:p>
    <w:p w:rsidR="000B1429" w:rsidP="009822C2" w:rsidRDefault="000B1429" w14:paraId="02033929" w14:textId="77777777">
      <w:pPr>
        <w:rPr>
          <w:b/>
          <w:bCs/>
        </w:rPr>
      </w:pPr>
    </w:p>
    <w:p w:rsidRPr="009822C2" w:rsidR="009822C2" w:rsidP="009822C2" w:rsidRDefault="00936334" w14:paraId="4808831D" w14:textId="4E8FE9A5">
      <w:pPr>
        <w:rPr>
          <w:b/>
          <w:bCs/>
        </w:rPr>
      </w:pPr>
      <w:r>
        <w:rPr>
          <w:b/>
          <w:bCs/>
        </w:rPr>
        <w:pict w14:anchorId="0C42EA39">
          <v:rect id="_x0000_i1029" style="width:0;height:1.5pt" o:hr="t" o:hrstd="t" o:hralign="center" fillcolor="#a0a0a0" stroked="f"/>
        </w:pict>
      </w:r>
    </w:p>
    <w:p w:rsidRPr="009822C2" w:rsidR="009822C2" w:rsidP="009822C2" w:rsidRDefault="009822C2" w14:paraId="099AD8D0" w14:textId="77777777">
      <w:pPr>
        <w:rPr>
          <w:b/>
          <w:bCs/>
        </w:rPr>
      </w:pPr>
      <w:r w:rsidRPr="009822C2">
        <w:rPr>
          <w:b/>
          <w:bCs/>
        </w:rPr>
        <w:t>SECTION 3: AI AND EMERGING TECHNOLOGY GOVERNANCE</w:t>
      </w:r>
    </w:p>
    <w:p w:rsidRPr="009822C2" w:rsidR="009822C2" w:rsidP="009822C2" w:rsidRDefault="009822C2" w14:paraId="147C5EE9" w14:textId="77777777">
      <w:pPr>
        <w:rPr>
          <w:b/>
          <w:bCs/>
        </w:rPr>
      </w:pPr>
      <w:r w:rsidRPr="009822C2">
        <w:rPr>
          <w:b/>
          <w:bCs/>
        </w:rPr>
        <w:t>3.1 AI Security Requirements</w:t>
      </w:r>
    </w:p>
    <w:p w:rsidRPr="009822C2" w:rsidR="009822C2" w:rsidP="009822C2" w:rsidRDefault="009822C2" w14:paraId="0251BEBB" w14:textId="77777777">
      <w:pPr>
        <w:rPr>
          <w:b/>
          <w:bCs/>
        </w:rPr>
      </w:pPr>
      <w:r w:rsidRPr="009822C2">
        <w:rPr>
          <w:b/>
          <w:bCs/>
        </w:rPr>
        <w:t>If your solution includes AI/ML components, confirm:</w:t>
      </w:r>
    </w:p>
    <w:p w:rsidRPr="009822C2" w:rsidR="009822C2" w:rsidP="009822C2" w:rsidRDefault="009822C2" w14:paraId="150EB43F" w14:textId="77777777">
      <w:pPr>
        <w:numPr>
          <w:ilvl w:val="0"/>
          <w:numId w:val="27"/>
        </w:numPr>
      </w:pPr>
      <w:r w:rsidRPr="009822C2">
        <w:t>Data privacy controls preventing client data from training models</w:t>
      </w:r>
    </w:p>
    <w:p w:rsidRPr="009822C2" w:rsidR="009822C2" w:rsidP="009822C2" w:rsidRDefault="009822C2" w14:paraId="7025A416" w14:textId="77777777">
      <w:pPr>
        <w:numPr>
          <w:ilvl w:val="0"/>
          <w:numId w:val="27"/>
        </w:numPr>
      </w:pPr>
      <w:r w:rsidRPr="009822C2">
        <w:t>AI governance policies for bias, fairness, and explainability</w:t>
      </w:r>
    </w:p>
    <w:p w:rsidRPr="009822C2" w:rsidR="009822C2" w:rsidP="009822C2" w:rsidRDefault="009822C2" w14:paraId="6F14D09B" w14:textId="77777777">
      <w:pPr>
        <w:numPr>
          <w:ilvl w:val="0"/>
          <w:numId w:val="27"/>
        </w:numPr>
      </w:pPr>
      <w:r w:rsidRPr="009822C2">
        <w:t>Model security including adversarial attack protection</w:t>
      </w:r>
    </w:p>
    <w:p w:rsidRPr="009822C2" w:rsidR="009822C2" w:rsidP="009822C2" w:rsidRDefault="009822C2" w14:paraId="0C93CAD0" w14:textId="77777777">
      <w:pPr>
        <w:numPr>
          <w:ilvl w:val="0"/>
          <w:numId w:val="27"/>
        </w:numPr>
      </w:pPr>
      <w:r w:rsidRPr="009822C2">
        <w:t>Transparency in AI decision-making processes</w:t>
      </w:r>
    </w:p>
    <w:p w:rsidRPr="009822C2" w:rsidR="009822C2" w:rsidP="009822C2" w:rsidRDefault="009822C2" w14:paraId="1CD854D2" w14:textId="77777777">
      <w:pPr>
        <w:numPr>
          <w:ilvl w:val="0"/>
          <w:numId w:val="27"/>
        </w:numPr>
      </w:pPr>
      <w:r w:rsidRPr="009822C2">
        <w:t>Human oversight mechanisms for AI-generated outputs</w:t>
      </w:r>
    </w:p>
    <w:p w:rsidR="000B1429" w:rsidP="009822C2" w:rsidRDefault="000B1429" w14:paraId="37DFDB5D" w14:textId="77777777">
      <w:pPr>
        <w:rPr>
          <w:b/>
          <w:bCs/>
        </w:rPr>
      </w:pPr>
    </w:p>
    <w:p w:rsidRPr="009822C2" w:rsidR="009822C2" w:rsidP="009822C2" w:rsidRDefault="00936334" w14:paraId="323ACC2A" w14:textId="50B481AE">
      <w:pPr>
        <w:rPr>
          <w:b/>
          <w:bCs/>
        </w:rPr>
      </w:pPr>
      <w:r>
        <w:rPr>
          <w:b/>
          <w:bCs/>
        </w:rPr>
        <w:pict w14:anchorId="7E203EFB">
          <v:rect id="_x0000_i1030" style="width:0;height:1.5pt" o:hr="t" o:hrstd="t" o:hralign="center" fillcolor="#a0a0a0" stroked="f"/>
        </w:pict>
      </w:r>
    </w:p>
    <w:p w:rsidRPr="009822C2" w:rsidR="009822C2" w:rsidP="009822C2" w:rsidRDefault="009822C2" w14:paraId="14B732DD" w14:textId="77777777">
      <w:pPr>
        <w:rPr>
          <w:b/>
          <w:bCs/>
        </w:rPr>
      </w:pPr>
      <w:r w:rsidRPr="009822C2">
        <w:rPr>
          <w:b/>
          <w:bCs/>
        </w:rPr>
        <w:t>SECTION 4: REGULATORY AND COMPLIANCE CONSIDERATIONS</w:t>
      </w:r>
    </w:p>
    <w:p w:rsidRPr="009822C2" w:rsidR="009822C2" w:rsidP="009822C2" w:rsidRDefault="009822C2" w14:paraId="53270653" w14:textId="77777777">
      <w:pPr>
        <w:rPr>
          <w:b/>
          <w:bCs/>
        </w:rPr>
      </w:pPr>
      <w:r w:rsidRPr="009822C2">
        <w:rPr>
          <w:b/>
          <w:bCs/>
        </w:rPr>
        <w:t>4.1 Compliance Framework</w:t>
      </w:r>
    </w:p>
    <w:p w:rsidRPr="009822C2" w:rsidR="009822C2" w:rsidP="009822C2" w:rsidRDefault="009822C2" w14:paraId="1B2A8748" w14:textId="77777777">
      <w:pPr>
        <w:rPr>
          <w:b/>
          <w:bCs/>
        </w:rPr>
      </w:pPr>
      <w:r w:rsidRPr="009822C2">
        <w:rPr>
          <w:b/>
          <w:bCs/>
        </w:rPr>
        <w:t>Demonstrate understanding of FAME's regulatory environment:</w:t>
      </w:r>
    </w:p>
    <w:p w:rsidRPr="009822C2" w:rsidR="009822C2" w:rsidP="009822C2" w:rsidRDefault="009822C2" w14:paraId="49948290" w14:textId="77777777">
      <w:pPr>
        <w:numPr>
          <w:ilvl w:val="0"/>
          <w:numId w:val="28"/>
        </w:numPr>
      </w:pPr>
      <w:r w:rsidRPr="009822C2">
        <w:t>FERPA compliance for student data protection</w:t>
      </w:r>
    </w:p>
    <w:p w:rsidRPr="009822C2" w:rsidR="009822C2" w:rsidP="009822C2" w:rsidRDefault="009822C2" w14:paraId="6161AAFF" w14:textId="1810CFF6">
      <w:pPr>
        <w:numPr>
          <w:ilvl w:val="0"/>
          <w:numId w:val="28"/>
        </w:numPr>
      </w:pPr>
      <w:r w:rsidRPr="009822C2">
        <w:t xml:space="preserve">Financial services </w:t>
      </w:r>
      <w:r w:rsidRPr="009822C2" w:rsidR="00EC74E3">
        <w:t>regulat</w:t>
      </w:r>
      <w:r w:rsidR="00EC74E3">
        <w:t>ory requirements</w:t>
      </w:r>
      <w:r w:rsidRPr="009822C2" w:rsidR="00EC74E3">
        <w:t xml:space="preserve"> </w:t>
      </w:r>
      <w:r w:rsidRPr="009822C2">
        <w:t xml:space="preserve">for </w:t>
      </w:r>
      <w:r w:rsidR="00EC74E3">
        <w:t xml:space="preserve">529 plan, </w:t>
      </w:r>
      <w:r w:rsidRPr="009822C2">
        <w:t>loan and insurance data</w:t>
      </w:r>
      <w:r w:rsidR="00EC74E3">
        <w:t>, reporting, etc.</w:t>
      </w:r>
    </w:p>
    <w:p w:rsidRPr="000B1429" w:rsidR="009822C2" w:rsidP="009822C2" w:rsidRDefault="009822C2" w14:paraId="71ECE424" w14:textId="31E4FADF">
      <w:pPr>
        <w:numPr>
          <w:ilvl w:val="0"/>
          <w:numId w:val="28"/>
        </w:numPr>
        <w:rPr>
          <w:b/>
          <w:bCs/>
        </w:rPr>
      </w:pPr>
      <w:r w:rsidRPr="009822C2">
        <w:t xml:space="preserve">State government </w:t>
      </w:r>
      <w:r w:rsidR="00BB3E3E">
        <w:t>p</w:t>
      </w:r>
      <w:r w:rsidRPr="009822C2">
        <w:t xml:space="preserve">ublic records </w:t>
      </w:r>
      <w:r w:rsidR="00EC74E3">
        <w:t xml:space="preserve">requirements </w:t>
      </w:r>
      <w:r w:rsidRPr="009822C2">
        <w:t>and FOAA considerations</w:t>
      </w:r>
    </w:p>
    <w:p w:rsidRPr="009822C2" w:rsidR="000B1429" w:rsidP="000B1429" w:rsidRDefault="000B1429" w14:paraId="7264CF1E" w14:textId="77777777">
      <w:pPr>
        <w:ind w:left="720"/>
        <w:rPr>
          <w:b/>
          <w:bCs/>
        </w:rPr>
      </w:pPr>
    </w:p>
    <w:p w:rsidRPr="009822C2" w:rsidR="009822C2" w:rsidP="009822C2" w:rsidRDefault="009822C2" w14:paraId="27F91F82" w14:textId="77777777">
      <w:pPr>
        <w:rPr>
          <w:b/>
          <w:bCs/>
        </w:rPr>
      </w:pPr>
      <w:r w:rsidRPr="009822C2">
        <w:rPr>
          <w:b/>
          <w:bCs/>
        </w:rPr>
        <w:t>4.2 What Finalists Will Provide</w:t>
      </w:r>
    </w:p>
    <w:p w:rsidRPr="009822C2" w:rsidR="009822C2" w:rsidP="009822C2" w:rsidRDefault="009822C2" w14:paraId="1B3A7D65" w14:textId="77777777">
      <w:pPr>
        <w:rPr>
          <w:b/>
          <w:bCs/>
        </w:rPr>
      </w:pPr>
      <w:r w:rsidRPr="009822C2">
        <w:rPr>
          <w:b/>
          <w:bCs/>
        </w:rPr>
        <w:t>Selected finalists will be required to provide:</w:t>
      </w:r>
    </w:p>
    <w:p w:rsidRPr="009822C2" w:rsidR="009822C2" w:rsidP="009822C2" w:rsidRDefault="009822C2" w14:paraId="2DE943E4" w14:textId="0B007B43">
      <w:pPr>
        <w:numPr>
          <w:ilvl w:val="0"/>
          <w:numId w:val="29"/>
        </w:numPr>
      </w:pPr>
      <w:r w:rsidRPr="009822C2">
        <w:t>Detailed compliance mapping for recommended solutions</w:t>
      </w:r>
    </w:p>
    <w:p w:rsidRPr="009822C2" w:rsidR="009822C2" w:rsidP="009822C2" w:rsidRDefault="009822C2" w14:paraId="68DE3E25" w14:textId="15779D03">
      <w:pPr>
        <w:numPr>
          <w:ilvl w:val="0"/>
          <w:numId w:val="29"/>
        </w:numPr>
      </w:pPr>
      <w:r w:rsidRPr="009822C2">
        <w:t>Data classification</w:t>
      </w:r>
      <w:r w:rsidR="00432F7B">
        <w:t>,</w:t>
      </w:r>
      <w:r w:rsidRPr="009822C2">
        <w:t xml:space="preserve"> handling </w:t>
      </w:r>
      <w:r w:rsidR="00432F7B">
        <w:t xml:space="preserve">and discovery </w:t>
      </w:r>
      <w:r w:rsidR="00D476D7">
        <w:t xml:space="preserve">procedures and </w:t>
      </w:r>
      <w:r w:rsidR="00432F7B">
        <w:t>capabilities</w:t>
      </w:r>
    </w:p>
    <w:p w:rsidRPr="009822C2" w:rsidR="009822C2" w:rsidP="009822C2" w:rsidRDefault="009822C2" w14:paraId="3102F3C0" w14:textId="77777777">
      <w:pPr>
        <w:numPr>
          <w:ilvl w:val="0"/>
          <w:numId w:val="29"/>
        </w:numPr>
      </w:pPr>
      <w:r w:rsidRPr="009822C2">
        <w:t>Regulatory reporting and audit trail capabilities</w:t>
      </w:r>
    </w:p>
    <w:p w:rsidR="009822C2" w:rsidP="009822C2" w:rsidRDefault="009822C2" w14:paraId="594DCC37" w14:textId="77777777">
      <w:pPr>
        <w:numPr>
          <w:ilvl w:val="0"/>
          <w:numId w:val="29"/>
        </w:numPr>
      </w:pPr>
      <w:r w:rsidRPr="009822C2">
        <w:t>Privacy impact assessment for proposed architecture</w:t>
      </w:r>
    </w:p>
    <w:p w:rsidRPr="009822C2" w:rsidR="000B1429" w:rsidP="000B1429" w:rsidRDefault="000B1429" w14:paraId="381A02F3" w14:textId="77777777">
      <w:pPr>
        <w:ind w:left="720"/>
      </w:pPr>
    </w:p>
    <w:p w:rsidRPr="009822C2" w:rsidR="009822C2" w:rsidP="009822C2" w:rsidRDefault="00936334" w14:paraId="18A02E0E" w14:textId="77777777">
      <w:pPr>
        <w:rPr>
          <w:b/>
          <w:bCs/>
        </w:rPr>
      </w:pPr>
      <w:r>
        <w:rPr>
          <w:b/>
          <w:bCs/>
        </w:rPr>
        <w:pict w14:anchorId="361D1ED1">
          <v:rect id="_x0000_i1031" style="width:0;height:1.5pt" o:hr="t" o:hrstd="t" o:hralign="center" fillcolor="#a0a0a0" stroked="f"/>
        </w:pict>
      </w:r>
    </w:p>
    <w:p w:rsidRPr="009822C2" w:rsidR="009822C2" w:rsidP="009822C2" w:rsidRDefault="009822C2" w14:paraId="04BC6958" w14:textId="77777777">
      <w:pPr>
        <w:rPr>
          <w:b/>
          <w:bCs/>
        </w:rPr>
      </w:pPr>
      <w:r w:rsidRPr="009822C2">
        <w:rPr>
          <w:b/>
          <w:bCs/>
        </w:rPr>
        <w:t>FINALIST EVALUATION PROCESS</w:t>
      </w:r>
    </w:p>
    <w:p w:rsidR="000B1429" w:rsidP="00582A87" w:rsidRDefault="009822C2" w14:paraId="4D0767B8" w14:textId="53484F3B">
      <w:r w:rsidRPr="009822C2">
        <w:rPr>
          <w:b/>
          <w:bCs/>
        </w:rPr>
        <w:t>Detailed Security Review</w:t>
      </w:r>
    </w:p>
    <w:p w:rsidR="005977F5" w:rsidP="00582A87" w:rsidRDefault="005977F5" w14:paraId="4086CD40" w14:textId="3B1D8B6C">
      <w:r>
        <w:tab/>
      </w:r>
      <w:r w:rsidR="009D4480">
        <w:t>To include additional data sharing</w:t>
      </w:r>
      <w:r w:rsidR="00AA5E26">
        <w:t xml:space="preserve"> regarding cybersecurity capabilities and controls</w:t>
      </w:r>
      <w:r w:rsidR="009D4480">
        <w:t xml:space="preserve">. </w:t>
      </w:r>
    </w:p>
    <w:p w:rsidRPr="009822C2" w:rsidR="00365851" w:rsidP="00936334" w:rsidRDefault="00365851" w14:paraId="0DDCAA4C" w14:textId="05F6D415">
      <w:r>
        <w:tab/>
      </w:r>
      <w:r>
        <w:t>May include cybersecurity focused interview</w:t>
      </w:r>
    </w:p>
    <w:p w:rsidRPr="009822C2" w:rsidR="009822C2" w:rsidP="009822C2" w:rsidRDefault="009822C2" w14:paraId="742AAA98" w14:textId="77777777">
      <w:pPr>
        <w:rPr>
          <w:b/>
          <w:bCs/>
        </w:rPr>
      </w:pPr>
      <w:r w:rsidRPr="009822C2">
        <w:rPr>
          <w:b/>
          <w:bCs/>
        </w:rPr>
        <w:t>Decision Criteria</w:t>
      </w:r>
    </w:p>
    <w:p w:rsidR="009822C2" w:rsidP="009E4E94" w:rsidRDefault="009822C2" w14:paraId="516EFADE" w14:textId="533EE00E">
      <w:pPr>
        <w:numPr>
          <w:ilvl w:val="1"/>
          <w:numId w:val="32"/>
        </w:numPr>
      </w:pPr>
      <w:r w:rsidRPr="009E4E94">
        <w:t xml:space="preserve">Security evaluation </w:t>
      </w:r>
      <w:r w:rsidRPr="009E4E94" w:rsidR="009E4E94">
        <w:t xml:space="preserve">may </w:t>
      </w:r>
      <w:r w:rsidR="009E4E94">
        <w:t xml:space="preserve">result in bidder disqualification </w:t>
      </w:r>
    </w:p>
    <w:p w:rsidR="00445260" w:rsidP="009E4E94" w:rsidRDefault="00445260" w14:paraId="29635107" w14:textId="2A54D055">
      <w:pPr>
        <w:numPr>
          <w:ilvl w:val="1"/>
          <w:numId w:val="32"/>
        </w:numPr>
      </w:pPr>
      <w:r>
        <w:t>Security evaluation may result in disqualification of recommended platforms</w:t>
      </w:r>
    </w:p>
    <w:p w:rsidRPr="009E4E94" w:rsidR="000B1429" w:rsidP="000B1429" w:rsidRDefault="000B1429" w14:paraId="427174FD" w14:textId="77777777">
      <w:pPr>
        <w:ind w:left="1440"/>
      </w:pPr>
    </w:p>
    <w:p w:rsidRPr="009822C2" w:rsidR="009822C2" w:rsidP="009822C2" w:rsidRDefault="00936334" w14:paraId="299AEB18" w14:textId="77777777">
      <w:pPr>
        <w:rPr>
          <w:b/>
          <w:bCs/>
        </w:rPr>
      </w:pPr>
      <w:r>
        <w:rPr>
          <w:b/>
          <w:bCs/>
        </w:rPr>
        <w:pict w14:anchorId="64F0F103">
          <v:rect id="_x0000_i1033" style="width:0;height:1.5pt" o:hr="t" o:hrstd="t" o:hralign="center" fillcolor="#a0a0a0" stroked="f"/>
        </w:pict>
      </w:r>
    </w:p>
    <w:p w:rsidRPr="009822C2" w:rsidR="009822C2" w:rsidP="009822C2" w:rsidRDefault="009822C2" w14:paraId="3739C665" w14:textId="77777777">
      <w:pPr>
        <w:rPr>
          <w:b/>
          <w:bCs/>
        </w:rPr>
      </w:pPr>
      <w:r w:rsidRPr="009822C2">
        <w:rPr>
          <w:b/>
          <w:bCs/>
        </w:rPr>
        <w:t>QUESTIONS AND CLARIFICATIONS</w:t>
      </w:r>
    </w:p>
    <w:p w:rsidRPr="009822C2" w:rsidR="009822C2" w:rsidP="009822C2" w:rsidRDefault="009822C2" w14:paraId="3E7CDFE4" w14:textId="77777777">
      <w:pPr>
        <w:rPr>
          <w:b/>
          <w:bCs/>
        </w:rPr>
      </w:pPr>
      <w:r w:rsidRPr="009822C2">
        <w:rPr>
          <w:b/>
          <w:bCs/>
        </w:rPr>
        <w:t>For questions regarding cybersecurity requirements, please submit through the standard RFP question process. Common questions will be addressed in the consolidated Q&amp;A document.</w:t>
      </w:r>
    </w:p>
    <w:p w:rsidRPr="009822C2" w:rsidR="009822C2" w:rsidP="009822C2" w:rsidRDefault="009822C2" w14:paraId="57A60771" w14:textId="18146579">
      <w:r w:rsidRPr="009822C2">
        <w:t>Note: FAME reserves the right to conduct additional security due diligence on the selected vendor, including ongoing security monitoring requirements throughout the engagement.</w:t>
      </w:r>
    </w:p>
    <w:p w:rsidR="00E10411" w:rsidP="009822C2" w:rsidRDefault="00E10411" w14:paraId="5A5B04BD" w14:textId="77777777"/>
    <w:sectPr w:rsidR="00E10411" w:rsidSect="000B75BA">
      <w:headerReference w:type="first" r:id="rId10"/>
      <w:pgSz w:w="12240" w:h="15840" w:orient="portrait" w:code="1"/>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F35AE" w:rsidP="000B75BA" w:rsidRDefault="000F35AE" w14:paraId="050DC4F6" w14:textId="77777777">
      <w:pPr>
        <w:spacing w:after="0" w:line="240" w:lineRule="auto"/>
      </w:pPr>
      <w:r>
        <w:separator/>
      </w:r>
    </w:p>
  </w:endnote>
  <w:endnote w:type="continuationSeparator" w:id="0">
    <w:p w:rsidR="000F35AE" w:rsidP="000B75BA" w:rsidRDefault="000F35AE" w14:paraId="329EC056"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inion Pro">
    <w:charset w:val="00"/>
    <w:family w:val="roman"/>
    <w:pitch w:val="variable"/>
    <w:sig w:usb0="6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F35AE" w:rsidP="000B75BA" w:rsidRDefault="000F35AE" w14:paraId="1E1FCDE7" w14:textId="77777777">
      <w:pPr>
        <w:spacing w:after="0" w:line="240" w:lineRule="auto"/>
      </w:pPr>
      <w:r>
        <w:separator/>
      </w:r>
    </w:p>
  </w:footnote>
  <w:footnote w:type="continuationSeparator" w:id="0">
    <w:p w:rsidR="000F35AE" w:rsidP="000B75BA" w:rsidRDefault="000F35AE" w14:paraId="16610DD5"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0B75BA" w:rsidRDefault="0001369F" w14:paraId="1219AA0E" w14:textId="77777777">
    <w:pPr>
      <w:pStyle w:val="Header"/>
    </w:pPr>
    <w:r>
      <w:rPr>
        <w:noProof/>
      </w:rPr>
      <w:drawing>
        <wp:inline distT="0" distB="0" distL="0" distR="0" wp14:anchorId="58469E4B" wp14:editId="2833955D">
          <wp:extent cx="1712538" cy="575761"/>
          <wp:effectExtent l="0" t="0" r="2540" b="0"/>
          <wp:docPr id="1906041901"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041901" name="Picture 1" descr="A blue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769947" cy="59506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328A2"/>
    <w:multiLevelType w:val="multilevel"/>
    <w:tmpl w:val="2F5E9D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07DE12E1"/>
    <w:multiLevelType w:val="multilevel"/>
    <w:tmpl w:val="E764867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0FD91A3D"/>
    <w:multiLevelType w:val="multilevel"/>
    <w:tmpl w:val="B7DE43B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12A27681"/>
    <w:multiLevelType w:val="multilevel"/>
    <w:tmpl w:val="03F2946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169758AE"/>
    <w:multiLevelType w:val="multilevel"/>
    <w:tmpl w:val="B17C6AA8"/>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17914C64"/>
    <w:multiLevelType w:val="multilevel"/>
    <w:tmpl w:val="B83414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hint="default" w:ascii="Courier New" w:hAnsi="Courier New"/>
        <w:sz w:val="20"/>
      </w:rPr>
    </w:lvl>
    <w:lvl w:ilvl="2">
      <w:start w:val="1"/>
      <w:numFmt w:val="bullet"/>
      <w:lvlText w:val=""/>
      <w:lvlJc w:val="left"/>
      <w:pPr>
        <w:tabs>
          <w:tab w:val="num" w:pos="2160"/>
        </w:tabs>
        <w:ind w:left="2160" w:hanging="360"/>
      </w:pPr>
      <w:rPr>
        <w:rFonts w:hint="default" w:ascii="Wingdings" w:hAnsi="Wingdings"/>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FB557E"/>
    <w:multiLevelType w:val="multilevel"/>
    <w:tmpl w:val="399EC0C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21F91247"/>
    <w:multiLevelType w:val="multilevel"/>
    <w:tmpl w:val="B3CC0ADE"/>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253174E7"/>
    <w:multiLevelType w:val="hybridMultilevel"/>
    <w:tmpl w:val="2416ECC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279D6B21"/>
    <w:multiLevelType w:val="multilevel"/>
    <w:tmpl w:val="A366F7C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2F9933F1"/>
    <w:multiLevelType w:val="multilevel"/>
    <w:tmpl w:val="A366F7C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322E589E"/>
    <w:multiLevelType w:val="multilevel"/>
    <w:tmpl w:val="D1F2D83A"/>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367A1D39"/>
    <w:multiLevelType w:val="multilevel"/>
    <w:tmpl w:val="80BACD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DB456A8"/>
    <w:multiLevelType w:val="multilevel"/>
    <w:tmpl w:val="56F8F4E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3E7C5D4A"/>
    <w:multiLevelType w:val="multilevel"/>
    <w:tmpl w:val="3A4CDE86"/>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47CB6D3A"/>
    <w:multiLevelType w:val="multilevel"/>
    <w:tmpl w:val="2DB496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86B76D9"/>
    <w:multiLevelType w:val="multilevel"/>
    <w:tmpl w:val="89841668"/>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4AE5753E"/>
    <w:multiLevelType w:val="multilevel"/>
    <w:tmpl w:val="4A34067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8" w15:restartNumberingAfterBreak="0">
    <w:nsid w:val="50EC45F6"/>
    <w:multiLevelType w:val="multilevel"/>
    <w:tmpl w:val="77A6BD5E"/>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9" w15:restartNumberingAfterBreak="0">
    <w:nsid w:val="51CE00AE"/>
    <w:multiLevelType w:val="multilevel"/>
    <w:tmpl w:val="6B32C5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EC62818"/>
    <w:multiLevelType w:val="multilevel"/>
    <w:tmpl w:val="B5D6838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1" w15:restartNumberingAfterBreak="0">
    <w:nsid w:val="625D66C1"/>
    <w:multiLevelType w:val="multilevel"/>
    <w:tmpl w:val="AA12195C"/>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2" w15:restartNumberingAfterBreak="0">
    <w:nsid w:val="65B35893"/>
    <w:multiLevelType w:val="multilevel"/>
    <w:tmpl w:val="B04259B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3" w15:restartNumberingAfterBreak="0">
    <w:nsid w:val="660D5CFE"/>
    <w:multiLevelType w:val="multilevel"/>
    <w:tmpl w:val="A366177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4" w15:restartNumberingAfterBreak="0">
    <w:nsid w:val="67AB5680"/>
    <w:multiLevelType w:val="multilevel"/>
    <w:tmpl w:val="4E7EC7D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5" w15:restartNumberingAfterBreak="0">
    <w:nsid w:val="6A20276C"/>
    <w:multiLevelType w:val="multilevel"/>
    <w:tmpl w:val="3446DDE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6" w15:restartNumberingAfterBreak="0">
    <w:nsid w:val="6B377065"/>
    <w:multiLevelType w:val="multilevel"/>
    <w:tmpl w:val="3DF65A1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7" w15:restartNumberingAfterBreak="0">
    <w:nsid w:val="6B863728"/>
    <w:multiLevelType w:val="multilevel"/>
    <w:tmpl w:val="7C60E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F1D6B28"/>
    <w:multiLevelType w:val="multilevel"/>
    <w:tmpl w:val="7CE4A2C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9" w15:restartNumberingAfterBreak="0">
    <w:nsid w:val="709714E2"/>
    <w:multiLevelType w:val="multilevel"/>
    <w:tmpl w:val="A4F244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0A70A63"/>
    <w:multiLevelType w:val="multilevel"/>
    <w:tmpl w:val="4B22D1B4"/>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1" w15:restartNumberingAfterBreak="0">
    <w:nsid w:val="71E11589"/>
    <w:multiLevelType w:val="multilevel"/>
    <w:tmpl w:val="9FBEA9D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2" w15:restartNumberingAfterBreak="0">
    <w:nsid w:val="78745E12"/>
    <w:multiLevelType w:val="multilevel"/>
    <w:tmpl w:val="599E56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BBB0D0B"/>
    <w:multiLevelType w:val="multilevel"/>
    <w:tmpl w:val="375089B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4" w15:restartNumberingAfterBreak="0">
    <w:nsid w:val="7FD5576F"/>
    <w:multiLevelType w:val="multilevel"/>
    <w:tmpl w:val="09541746"/>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1709841643">
    <w:abstractNumId w:val="8"/>
  </w:num>
  <w:num w:numId="2" w16cid:durableId="1970817614">
    <w:abstractNumId w:val="5"/>
  </w:num>
  <w:num w:numId="3" w16cid:durableId="1464931501">
    <w:abstractNumId w:val="19"/>
  </w:num>
  <w:num w:numId="4" w16cid:durableId="1830437169">
    <w:abstractNumId w:val="15"/>
  </w:num>
  <w:num w:numId="5" w16cid:durableId="1145465794">
    <w:abstractNumId w:val="32"/>
  </w:num>
  <w:num w:numId="6" w16cid:durableId="1378505691">
    <w:abstractNumId w:val="0"/>
  </w:num>
  <w:num w:numId="7" w16cid:durableId="1650287134">
    <w:abstractNumId w:val="2"/>
  </w:num>
  <w:num w:numId="8" w16cid:durableId="1258292506">
    <w:abstractNumId w:val="25"/>
  </w:num>
  <w:num w:numId="9" w16cid:durableId="218902043">
    <w:abstractNumId w:val="34"/>
  </w:num>
  <w:num w:numId="10" w16cid:durableId="515122194">
    <w:abstractNumId w:val="18"/>
  </w:num>
  <w:num w:numId="11" w16cid:durableId="208300683">
    <w:abstractNumId w:val="16"/>
  </w:num>
  <w:num w:numId="12" w16cid:durableId="478112792">
    <w:abstractNumId w:val="31"/>
  </w:num>
  <w:num w:numId="13" w16cid:durableId="370107559">
    <w:abstractNumId w:val="7"/>
  </w:num>
  <w:num w:numId="14" w16cid:durableId="1580671048">
    <w:abstractNumId w:val="11"/>
  </w:num>
  <w:num w:numId="15" w16cid:durableId="398404513">
    <w:abstractNumId w:val="4"/>
  </w:num>
  <w:num w:numId="16" w16cid:durableId="1092161601">
    <w:abstractNumId w:val="30"/>
  </w:num>
  <w:num w:numId="17" w16cid:durableId="412049219">
    <w:abstractNumId w:val="21"/>
  </w:num>
  <w:num w:numId="18" w16cid:durableId="903106575">
    <w:abstractNumId w:val="14"/>
  </w:num>
  <w:num w:numId="19" w16cid:durableId="41953363">
    <w:abstractNumId w:val="24"/>
  </w:num>
  <w:num w:numId="20" w16cid:durableId="882332105">
    <w:abstractNumId w:val="27"/>
  </w:num>
  <w:num w:numId="21" w16cid:durableId="1081634415">
    <w:abstractNumId w:val="17"/>
  </w:num>
  <w:num w:numId="22" w16cid:durableId="1239900854">
    <w:abstractNumId w:val="28"/>
  </w:num>
  <w:num w:numId="23" w16cid:durableId="1574467458">
    <w:abstractNumId w:val="13"/>
  </w:num>
  <w:num w:numId="24" w16cid:durableId="1927617674">
    <w:abstractNumId w:val="6"/>
  </w:num>
  <w:num w:numId="25" w16cid:durableId="634337746">
    <w:abstractNumId w:val="3"/>
  </w:num>
  <w:num w:numId="26" w16cid:durableId="883251952">
    <w:abstractNumId w:val="20"/>
  </w:num>
  <w:num w:numId="27" w16cid:durableId="1891842637">
    <w:abstractNumId w:val="33"/>
  </w:num>
  <w:num w:numId="28" w16cid:durableId="1324747442">
    <w:abstractNumId w:val="22"/>
  </w:num>
  <w:num w:numId="29" w16cid:durableId="1346402246">
    <w:abstractNumId w:val="1"/>
  </w:num>
  <w:num w:numId="30" w16cid:durableId="920794134">
    <w:abstractNumId w:val="12"/>
  </w:num>
  <w:num w:numId="31" w16cid:durableId="496580013">
    <w:abstractNumId w:val="23"/>
  </w:num>
  <w:num w:numId="32" w16cid:durableId="1144541815">
    <w:abstractNumId w:val="29"/>
  </w:num>
  <w:num w:numId="33" w16cid:durableId="1258057011">
    <w:abstractNumId w:val="26"/>
  </w:num>
  <w:num w:numId="34" w16cid:durableId="366492467">
    <w:abstractNumId w:val="9"/>
  </w:num>
  <w:num w:numId="35" w16cid:durableId="1225725630">
    <w:abstractNumId w:val="1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proofState w:spelling="clean" w:grammar="dirty"/>
  <w:trackRevisions w:val="false"/>
  <w:defaultTabStop w:val="720"/>
  <w:characterSpacingControl w:val="doNotCompress"/>
  <w:hdrShapeDefaults>
    <o:shapedefaults v:ext="edit" spidmax="205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411"/>
    <w:rsid w:val="0001369F"/>
    <w:rsid w:val="000160D3"/>
    <w:rsid w:val="00022FA9"/>
    <w:rsid w:val="00065267"/>
    <w:rsid w:val="000918D5"/>
    <w:rsid w:val="000B1429"/>
    <w:rsid w:val="000B75BA"/>
    <w:rsid w:val="000F1779"/>
    <w:rsid w:val="000F35AE"/>
    <w:rsid w:val="00127619"/>
    <w:rsid w:val="001448D6"/>
    <w:rsid w:val="00177BB6"/>
    <w:rsid w:val="00181EB0"/>
    <w:rsid w:val="0019319D"/>
    <w:rsid w:val="001A3330"/>
    <w:rsid w:val="001F4457"/>
    <w:rsid w:val="00225ED2"/>
    <w:rsid w:val="00283628"/>
    <w:rsid w:val="002A325E"/>
    <w:rsid w:val="0031210E"/>
    <w:rsid w:val="00341914"/>
    <w:rsid w:val="003550CD"/>
    <w:rsid w:val="00365851"/>
    <w:rsid w:val="00395626"/>
    <w:rsid w:val="003A2CC3"/>
    <w:rsid w:val="00432F7B"/>
    <w:rsid w:val="00445260"/>
    <w:rsid w:val="0044755A"/>
    <w:rsid w:val="004A1971"/>
    <w:rsid w:val="005462E0"/>
    <w:rsid w:val="00574F83"/>
    <w:rsid w:val="00582A87"/>
    <w:rsid w:val="005977F5"/>
    <w:rsid w:val="005C31B4"/>
    <w:rsid w:val="00602606"/>
    <w:rsid w:val="0065231E"/>
    <w:rsid w:val="006F66B0"/>
    <w:rsid w:val="006F7AA5"/>
    <w:rsid w:val="00701891"/>
    <w:rsid w:val="0076024B"/>
    <w:rsid w:val="00857D06"/>
    <w:rsid w:val="008D2DCB"/>
    <w:rsid w:val="008F03AE"/>
    <w:rsid w:val="008F4560"/>
    <w:rsid w:val="00936334"/>
    <w:rsid w:val="009822C2"/>
    <w:rsid w:val="009925B9"/>
    <w:rsid w:val="009C4C57"/>
    <w:rsid w:val="009D4480"/>
    <w:rsid w:val="009D7FAF"/>
    <w:rsid w:val="009E4E94"/>
    <w:rsid w:val="00A577F3"/>
    <w:rsid w:val="00A839F9"/>
    <w:rsid w:val="00AA5E26"/>
    <w:rsid w:val="00B47D38"/>
    <w:rsid w:val="00B566A1"/>
    <w:rsid w:val="00B577E1"/>
    <w:rsid w:val="00B676ED"/>
    <w:rsid w:val="00B77325"/>
    <w:rsid w:val="00B77771"/>
    <w:rsid w:val="00B9603E"/>
    <w:rsid w:val="00BB1C71"/>
    <w:rsid w:val="00BB3E3E"/>
    <w:rsid w:val="00BD0372"/>
    <w:rsid w:val="00C02353"/>
    <w:rsid w:val="00C91D38"/>
    <w:rsid w:val="00CF4CE2"/>
    <w:rsid w:val="00D15F28"/>
    <w:rsid w:val="00D27BC6"/>
    <w:rsid w:val="00D476D7"/>
    <w:rsid w:val="00E00CC1"/>
    <w:rsid w:val="00E10411"/>
    <w:rsid w:val="00EC74E3"/>
    <w:rsid w:val="00F812D9"/>
    <w:rsid w:val="00FB3DA7"/>
    <w:rsid w:val="2A269D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2"/>
    </o:shapelayout>
  </w:shapeDefaults>
  <w:decimalSymbol w:val="."/>
  <w:listSeparator w:val=","/>
  <w14:docId w14:val="3C2305B9"/>
  <w15:chartTrackingRefBased/>
  <w15:docId w15:val="{34D004D3-3119-41A2-BA9C-48B7096EE38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10411"/>
    <w:rPr>
      <w:kern w:val="2"/>
      <w14:ligatures w14:val="standardContextual"/>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0B75BA"/>
    <w:pPr>
      <w:tabs>
        <w:tab w:val="center" w:pos="4680"/>
        <w:tab w:val="right" w:pos="9360"/>
      </w:tabs>
      <w:spacing w:after="0" w:line="240" w:lineRule="auto"/>
    </w:pPr>
  </w:style>
  <w:style w:type="character" w:styleId="HeaderChar" w:customStyle="1">
    <w:name w:val="Header Char"/>
    <w:basedOn w:val="DefaultParagraphFont"/>
    <w:link w:val="Header"/>
    <w:uiPriority w:val="99"/>
    <w:rsid w:val="000B75BA"/>
  </w:style>
  <w:style w:type="paragraph" w:styleId="Footer">
    <w:name w:val="footer"/>
    <w:basedOn w:val="Normal"/>
    <w:link w:val="FooterChar"/>
    <w:uiPriority w:val="99"/>
    <w:unhideWhenUsed/>
    <w:rsid w:val="000B75BA"/>
    <w:pPr>
      <w:tabs>
        <w:tab w:val="center" w:pos="4680"/>
        <w:tab w:val="right" w:pos="9360"/>
      </w:tabs>
      <w:spacing w:after="0" w:line="240" w:lineRule="auto"/>
    </w:pPr>
  </w:style>
  <w:style w:type="character" w:styleId="FooterChar" w:customStyle="1">
    <w:name w:val="Footer Char"/>
    <w:basedOn w:val="DefaultParagraphFont"/>
    <w:link w:val="Footer"/>
    <w:uiPriority w:val="99"/>
    <w:rsid w:val="000B75BA"/>
  </w:style>
  <w:style w:type="paragraph" w:styleId="BasicParagraph" w:customStyle="1">
    <w:name w:val="[Basic Paragraph]"/>
    <w:basedOn w:val="Normal"/>
    <w:uiPriority w:val="99"/>
    <w:rsid w:val="0001369F"/>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ListParagraph">
    <w:name w:val="List Paragraph"/>
    <w:basedOn w:val="Normal"/>
    <w:uiPriority w:val="34"/>
    <w:qFormat/>
    <w:rsid w:val="009E4E94"/>
    <w:pPr>
      <w:ind w:left="720"/>
      <w:contextualSpacing/>
    </w:pPr>
  </w:style>
  <w:style w:type="paragraph" w:styleId="Revision">
    <w:name w:val="Revision"/>
    <w:hidden/>
    <w:uiPriority w:val="99"/>
    <w:semiHidden/>
    <w:rsid w:val="00CF4CE2"/>
    <w:pPr>
      <w:spacing w:after="0" w:line="240" w:lineRule="auto"/>
    </w:pPr>
    <w:rPr>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6988271">
      <w:bodyDiv w:val="1"/>
      <w:marLeft w:val="0"/>
      <w:marRight w:val="0"/>
      <w:marTop w:val="0"/>
      <w:marBottom w:val="0"/>
      <w:divBdr>
        <w:top w:val="none" w:sz="0" w:space="0" w:color="auto"/>
        <w:left w:val="none" w:sz="0" w:space="0" w:color="auto"/>
        <w:bottom w:val="none" w:sz="0" w:space="0" w:color="auto"/>
        <w:right w:val="none" w:sz="0" w:space="0" w:color="auto"/>
      </w:divBdr>
    </w:div>
    <w:div w:id="787087818">
      <w:bodyDiv w:val="1"/>
      <w:marLeft w:val="0"/>
      <w:marRight w:val="0"/>
      <w:marTop w:val="0"/>
      <w:marBottom w:val="0"/>
      <w:divBdr>
        <w:top w:val="none" w:sz="0" w:space="0" w:color="auto"/>
        <w:left w:val="none" w:sz="0" w:space="0" w:color="auto"/>
        <w:bottom w:val="none" w:sz="0" w:space="0" w:color="auto"/>
        <w:right w:val="none" w:sz="0" w:space="0" w:color="auto"/>
      </w:divBdr>
    </w:div>
    <w:div w:id="1023477181">
      <w:bodyDiv w:val="1"/>
      <w:marLeft w:val="0"/>
      <w:marRight w:val="0"/>
      <w:marTop w:val="0"/>
      <w:marBottom w:val="0"/>
      <w:divBdr>
        <w:top w:val="none" w:sz="0" w:space="0" w:color="auto"/>
        <w:left w:val="none" w:sz="0" w:space="0" w:color="auto"/>
        <w:bottom w:val="none" w:sz="0" w:space="0" w:color="auto"/>
        <w:right w:val="none" w:sz="0" w:space="0" w:color="auto"/>
      </w:divBdr>
      <w:divsChild>
        <w:div w:id="180432395">
          <w:marLeft w:val="0"/>
          <w:marRight w:val="0"/>
          <w:marTop w:val="0"/>
          <w:marBottom w:val="0"/>
          <w:divBdr>
            <w:top w:val="none" w:sz="0" w:space="0" w:color="auto"/>
            <w:left w:val="none" w:sz="0" w:space="0" w:color="auto"/>
            <w:bottom w:val="none" w:sz="0" w:space="0" w:color="auto"/>
            <w:right w:val="none" w:sz="0" w:space="0" w:color="auto"/>
          </w:divBdr>
        </w:div>
        <w:div w:id="230042482">
          <w:marLeft w:val="0"/>
          <w:marRight w:val="0"/>
          <w:marTop w:val="0"/>
          <w:marBottom w:val="0"/>
          <w:divBdr>
            <w:top w:val="none" w:sz="0" w:space="0" w:color="auto"/>
            <w:left w:val="none" w:sz="0" w:space="0" w:color="auto"/>
            <w:bottom w:val="none" w:sz="0" w:space="0" w:color="auto"/>
            <w:right w:val="none" w:sz="0" w:space="0" w:color="auto"/>
          </w:divBdr>
        </w:div>
        <w:div w:id="260190015">
          <w:marLeft w:val="0"/>
          <w:marRight w:val="0"/>
          <w:marTop w:val="0"/>
          <w:marBottom w:val="0"/>
          <w:divBdr>
            <w:top w:val="none" w:sz="0" w:space="0" w:color="auto"/>
            <w:left w:val="none" w:sz="0" w:space="0" w:color="auto"/>
            <w:bottom w:val="none" w:sz="0" w:space="0" w:color="auto"/>
            <w:right w:val="none" w:sz="0" w:space="0" w:color="auto"/>
          </w:divBdr>
        </w:div>
        <w:div w:id="731193638">
          <w:marLeft w:val="0"/>
          <w:marRight w:val="0"/>
          <w:marTop w:val="0"/>
          <w:marBottom w:val="0"/>
          <w:divBdr>
            <w:top w:val="none" w:sz="0" w:space="0" w:color="auto"/>
            <w:left w:val="none" w:sz="0" w:space="0" w:color="auto"/>
            <w:bottom w:val="none" w:sz="0" w:space="0" w:color="auto"/>
            <w:right w:val="none" w:sz="0" w:space="0" w:color="auto"/>
          </w:divBdr>
        </w:div>
        <w:div w:id="749162645">
          <w:marLeft w:val="0"/>
          <w:marRight w:val="0"/>
          <w:marTop w:val="0"/>
          <w:marBottom w:val="0"/>
          <w:divBdr>
            <w:top w:val="none" w:sz="0" w:space="0" w:color="auto"/>
            <w:left w:val="none" w:sz="0" w:space="0" w:color="auto"/>
            <w:bottom w:val="none" w:sz="0" w:space="0" w:color="auto"/>
            <w:right w:val="none" w:sz="0" w:space="0" w:color="auto"/>
          </w:divBdr>
        </w:div>
        <w:div w:id="2078549948">
          <w:marLeft w:val="0"/>
          <w:marRight w:val="0"/>
          <w:marTop w:val="0"/>
          <w:marBottom w:val="0"/>
          <w:divBdr>
            <w:top w:val="none" w:sz="0" w:space="0" w:color="auto"/>
            <w:left w:val="none" w:sz="0" w:space="0" w:color="auto"/>
            <w:bottom w:val="none" w:sz="0" w:space="0" w:color="auto"/>
            <w:right w:val="none" w:sz="0" w:space="0" w:color="auto"/>
          </w:divBdr>
        </w:div>
        <w:div w:id="704478531">
          <w:marLeft w:val="0"/>
          <w:marRight w:val="0"/>
          <w:marTop w:val="0"/>
          <w:marBottom w:val="0"/>
          <w:divBdr>
            <w:top w:val="none" w:sz="0" w:space="0" w:color="auto"/>
            <w:left w:val="none" w:sz="0" w:space="0" w:color="auto"/>
            <w:bottom w:val="none" w:sz="0" w:space="0" w:color="auto"/>
            <w:right w:val="none" w:sz="0" w:space="0" w:color="auto"/>
          </w:divBdr>
        </w:div>
        <w:div w:id="733745401">
          <w:marLeft w:val="0"/>
          <w:marRight w:val="0"/>
          <w:marTop w:val="0"/>
          <w:marBottom w:val="0"/>
          <w:divBdr>
            <w:top w:val="none" w:sz="0" w:space="0" w:color="auto"/>
            <w:left w:val="none" w:sz="0" w:space="0" w:color="auto"/>
            <w:bottom w:val="none" w:sz="0" w:space="0" w:color="auto"/>
            <w:right w:val="none" w:sz="0" w:space="0" w:color="auto"/>
          </w:divBdr>
        </w:div>
        <w:div w:id="271253765">
          <w:marLeft w:val="0"/>
          <w:marRight w:val="0"/>
          <w:marTop w:val="0"/>
          <w:marBottom w:val="0"/>
          <w:divBdr>
            <w:top w:val="none" w:sz="0" w:space="0" w:color="auto"/>
            <w:left w:val="none" w:sz="0" w:space="0" w:color="auto"/>
            <w:bottom w:val="none" w:sz="0" w:space="0" w:color="auto"/>
            <w:right w:val="none" w:sz="0" w:space="0" w:color="auto"/>
          </w:divBdr>
        </w:div>
        <w:div w:id="911349705">
          <w:marLeft w:val="0"/>
          <w:marRight w:val="0"/>
          <w:marTop w:val="0"/>
          <w:marBottom w:val="0"/>
          <w:divBdr>
            <w:top w:val="none" w:sz="0" w:space="0" w:color="auto"/>
            <w:left w:val="none" w:sz="0" w:space="0" w:color="auto"/>
            <w:bottom w:val="none" w:sz="0" w:space="0" w:color="auto"/>
            <w:right w:val="none" w:sz="0" w:space="0" w:color="auto"/>
          </w:divBdr>
        </w:div>
        <w:div w:id="1899247993">
          <w:marLeft w:val="0"/>
          <w:marRight w:val="0"/>
          <w:marTop w:val="0"/>
          <w:marBottom w:val="0"/>
          <w:divBdr>
            <w:top w:val="none" w:sz="0" w:space="0" w:color="auto"/>
            <w:left w:val="none" w:sz="0" w:space="0" w:color="auto"/>
            <w:bottom w:val="none" w:sz="0" w:space="0" w:color="auto"/>
            <w:right w:val="none" w:sz="0" w:space="0" w:color="auto"/>
          </w:divBdr>
        </w:div>
        <w:div w:id="827402035">
          <w:marLeft w:val="0"/>
          <w:marRight w:val="0"/>
          <w:marTop w:val="0"/>
          <w:marBottom w:val="0"/>
          <w:divBdr>
            <w:top w:val="none" w:sz="0" w:space="0" w:color="auto"/>
            <w:left w:val="none" w:sz="0" w:space="0" w:color="auto"/>
            <w:bottom w:val="none" w:sz="0" w:space="0" w:color="auto"/>
            <w:right w:val="none" w:sz="0" w:space="0" w:color="auto"/>
          </w:divBdr>
        </w:div>
        <w:div w:id="1230074445">
          <w:marLeft w:val="0"/>
          <w:marRight w:val="0"/>
          <w:marTop w:val="0"/>
          <w:marBottom w:val="0"/>
          <w:divBdr>
            <w:top w:val="none" w:sz="0" w:space="0" w:color="auto"/>
            <w:left w:val="none" w:sz="0" w:space="0" w:color="auto"/>
            <w:bottom w:val="none" w:sz="0" w:space="0" w:color="auto"/>
            <w:right w:val="none" w:sz="0" w:space="0" w:color="auto"/>
          </w:divBdr>
        </w:div>
        <w:div w:id="632760061">
          <w:marLeft w:val="0"/>
          <w:marRight w:val="0"/>
          <w:marTop w:val="0"/>
          <w:marBottom w:val="0"/>
          <w:divBdr>
            <w:top w:val="none" w:sz="0" w:space="0" w:color="auto"/>
            <w:left w:val="none" w:sz="0" w:space="0" w:color="auto"/>
            <w:bottom w:val="none" w:sz="0" w:space="0" w:color="auto"/>
            <w:right w:val="none" w:sz="0" w:space="0" w:color="auto"/>
          </w:divBdr>
        </w:div>
        <w:div w:id="230889601">
          <w:marLeft w:val="0"/>
          <w:marRight w:val="0"/>
          <w:marTop w:val="0"/>
          <w:marBottom w:val="0"/>
          <w:divBdr>
            <w:top w:val="none" w:sz="0" w:space="0" w:color="auto"/>
            <w:left w:val="none" w:sz="0" w:space="0" w:color="auto"/>
            <w:bottom w:val="none" w:sz="0" w:space="0" w:color="auto"/>
            <w:right w:val="none" w:sz="0" w:space="0" w:color="auto"/>
          </w:divBdr>
        </w:div>
        <w:div w:id="769813861">
          <w:marLeft w:val="0"/>
          <w:marRight w:val="0"/>
          <w:marTop w:val="0"/>
          <w:marBottom w:val="0"/>
          <w:divBdr>
            <w:top w:val="none" w:sz="0" w:space="0" w:color="auto"/>
            <w:left w:val="none" w:sz="0" w:space="0" w:color="auto"/>
            <w:bottom w:val="none" w:sz="0" w:space="0" w:color="auto"/>
            <w:right w:val="none" w:sz="0" w:space="0" w:color="auto"/>
          </w:divBdr>
        </w:div>
      </w:divsChild>
    </w:div>
    <w:div w:id="1052457420">
      <w:bodyDiv w:val="1"/>
      <w:marLeft w:val="0"/>
      <w:marRight w:val="0"/>
      <w:marTop w:val="0"/>
      <w:marBottom w:val="0"/>
      <w:divBdr>
        <w:top w:val="none" w:sz="0" w:space="0" w:color="auto"/>
        <w:left w:val="none" w:sz="0" w:space="0" w:color="auto"/>
        <w:bottom w:val="none" w:sz="0" w:space="0" w:color="auto"/>
        <w:right w:val="none" w:sz="0" w:space="0" w:color="auto"/>
      </w:divBdr>
    </w:div>
    <w:div w:id="1489709213">
      <w:bodyDiv w:val="1"/>
      <w:marLeft w:val="0"/>
      <w:marRight w:val="0"/>
      <w:marTop w:val="0"/>
      <w:marBottom w:val="0"/>
      <w:divBdr>
        <w:top w:val="none" w:sz="0" w:space="0" w:color="auto"/>
        <w:left w:val="none" w:sz="0" w:space="0" w:color="auto"/>
        <w:bottom w:val="none" w:sz="0" w:space="0" w:color="auto"/>
        <w:right w:val="none" w:sz="0" w:space="0" w:color="auto"/>
      </w:divBdr>
    </w:div>
    <w:div w:id="1847938245">
      <w:bodyDiv w:val="1"/>
      <w:marLeft w:val="0"/>
      <w:marRight w:val="0"/>
      <w:marTop w:val="0"/>
      <w:marBottom w:val="0"/>
      <w:divBdr>
        <w:top w:val="none" w:sz="0" w:space="0" w:color="auto"/>
        <w:left w:val="none" w:sz="0" w:space="0" w:color="auto"/>
        <w:bottom w:val="none" w:sz="0" w:space="0" w:color="auto"/>
        <w:right w:val="none" w:sz="0" w:space="0" w:color="auto"/>
      </w:divBdr>
    </w:div>
    <w:div w:id="2105028883">
      <w:bodyDiv w:val="1"/>
      <w:marLeft w:val="0"/>
      <w:marRight w:val="0"/>
      <w:marTop w:val="0"/>
      <w:marBottom w:val="0"/>
      <w:divBdr>
        <w:top w:val="none" w:sz="0" w:space="0" w:color="auto"/>
        <w:left w:val="none" w:sz="0" w:space="0" w:color="auto"/>
        <w:bottom w:val="none" w:sz="0" w:space="0" w:color="auto"/>
        <w:right w:val="none" w:sz="0" w:space="0" w:color="auto"/>
      </w:divBdr>
    </w:div>
    <w:div w:id="2120954857">
      <w:bodyDiv w:val="1"/>
      <w:marLeft w:val="0"/>
      <w:marRight w:val="0"/>
      <w:marTop w:val="0"/>
      <w:marBottom w:val="0"/>
      <w:divBdr>
        <w:top w:val="none" w:sz="0" w:space="0" w:color="auto"/>
        <w:left w:val="none" w:sz="0" w:space="0" w:color="auto"/>
        <w:bottom w:val="none" w:sz="0" w:space="0" w:color="auto"/>
        <w:right w:val="none" w:sz="0" w:space="0" w:color="auto"/>
      </w:divBdr>
      <w:divsChild>
        <w:div w:id="1783064782">
          <w:marLeft w:val="0"/>
          <w:marRight w:val="0"/>
          <w:marTop w:val="0"/>
          <w:marBottom w:val="0"/>
          <w:divBdr>
            <w:top w:val="none" w:sz="0" w:space="0" w:color="auto"/>
            <w:left w:val="none" w:sz="0" w:space="0" w:color="auto"/>
            <w:bottom w:val="none" w:sz="0" w:space="0" w:color="auto"/>
            <w:right w:val="none" w:sz="0" w:space="0" w:color="auto"/>
          </w:divBdr>
        </w:div>
        <w:div w:id="680667606">
          <w:marLeft w:val="0"/>
          <w:marRight w:val="0"/>
          <w:marTop w:val="0"/>
          <w:marBottom w:val="0"/>
          <w:divBdr>
            <w:top w:val="none" w:sz="0" w:space="0" w:color="auto"/>
            <w:left w:val="none" w:sz="0" w:space="0" w:color="auto"/>
            <w:bottom w:val="none" w:sz="0" w:space="0" w:color="auto"/>
            <w:right w:val="none" w:sz="0" w:space="0" w:color="auto"/>
          </w:divBdr>
        </w:div>
        <w:div w:id="1486819970">
          <w:marLeft w:val="0"/>
          <w:marRight w:val="0"/>
          <w:marTop w:val="0"/>
          <w:marBottom w:val="0"/>
          <w:divBdr>
            <w:top w:val="none" w:sz="0" w:space="0" w:color="auto"/>
            <w:left w:val="none" w:sz="0" w:space="0" w:color="auto"/>
            <w:bottom w:val="none" w:sz="0" w:space="0" w:color="auto"/>
            <w:right w:val="none" w:sz="0" w:space="0" w:color="auto"/>
          </w:divBdr>
        </w:div>
        <w:div w:id="122772670">
          <w:marLeft w:val="0"/>
          <w:marRight w:val="0"/>
          <w:marTop w:val="0"/>
          <w:marBottom w:val="0"/>
          <w:divBdr>
            <w:top w:val="none" w:sz="0" w:space="0" w:color="auto"/>
            <w:left w:val="none" w:sz="0" w:space="0" w:color="auto"/>
            <w:bottom w:val="none" w:sz="0" w:space="0" w:color="auto"/>
            <w:right w:val="none" w:sz="0" w:space="0" w:color="auto"/>
          </w:divBdr>
        </w:div>
        <w:div w:id="1333025800">
          <w:marLeft w:val="0"/>
          <w:marRight w:val="0"/>
          <w:marTop w:val="0"/>
          <w:marBottom w:val="0"/>
          <w:divBdr>
            <w:top w:val="none" w:sz="0" w:space="0" w:color="auto"/>
            <w:left w:val="none" w:sz="0" w:space="0" w:color="auto"/>
            <w:bottom w:val="none" w:sz="0" w:space="0" w:color="auto"/>
            <w:right w:val="none" w:sz="0" w:space="0" w:color="auto"/>
          </w:divBdr>
        </w:div>
        <w:div w:id="1120952818">
          <w:marLeft w:val="0"/>
          <w:marRight w:val="0"/>
          <w:marTop w:val="0"/>
          <w:marBottom w:val="0"/>
          <w:divBdr>
            <w:top w:val="none" w:sz="0" w:space="0" w:color="auto"/>
            <w:left w:val="none" w:sz="0" w:space="0" w:color="auto"/>
            <w:bottom w:val="none" w:sz="0" w:space="0" w:color="auto"/>
            <w:right w:val="none" w:sz="0" w:space="0" w:color="auto"/>
          </w:divBdr>
        </w:div>
        <w:div w:id="1166552494">
          <w:marLeft w:val="0"/>
          <w:marRight w:val="0"/>
          <w:marTop w:val="0"/>
          <w:marBottom w:val="0"/>
          <w:divBdr>
            <w:top w:val="none" w:sz="0" w:space="0" w:color="auto"/>
            <w:left w:val="none" w:sz="0" w:space="0" w:color="auto"/>
            <w:bottom w:val="none" w:sz="0" w:space="0" w:color="auto"/>
            <w:right w:val="none" w:sz="0" w:space="0" w:color="auto"/>
          </w:divBdr>
        </w:div>
        <w:div w:id="992022606">
          <w:marLeft w:val="0"/>
          <w:marRight w:val="0"/>
          <w:marTop w:val="0"/>
          <w:marBottom w:val="0"/>
          <w:divBdr>
            <w:top w:val="none" w:sz="0" w:space="0" w:color="auto"/>
            <w:left w:val="none" w:sz="0" w:space="0" w:color="auto"/>
            <w:bottom w:val="none" w:sz="0" w:space="0" w:color="auto"/>
            <w:right w:val="none" w:sz="0" w:space="0" w:color="auto"/>
          </w:divBdr>
        </w:div>
        <w:div w:id="355349934">
          <w:marLeft w:val="0"/>
          <w:marRight w:val="0"/>
          <w:marTop w:val="0"/>
          <w:marBottom w:val="0"/>
          <w:divBdr>
            <w:top w:val="none" w:sz="0" w:space="0" w:color="auto"/>
            <w:left w:val="none" w:sz="0" w:space="0" w:color="auto"/>
            <w:bottom w:val="none" w:sz="0" w:space="0" w:color="auto"/>
            <w:right w:val="none" w:sz="0" w:space="0" w:color="auto"/>
          </w:divBdr>
        </w:div>
        <w:div w:id="1621297041">
          <w:marLeft w:val="0"/>
          <w:marRight w:val="0"/>
          <w:marTop w:val="0"/>
          <w:marBottom w:val="0"/>
          <w:divBdr>
            <w:top w:val="none" w:sz="0" w:space="0" w:color="auto"/>
            <w:left w:val="none" w:sz="0" w:space="0" w:color="auto"/>
            <w:bottom w:val="none" w:sz="0" w:space="0" w:color="auto"/>
            <w:right w:val="none" w:sz="0" w:space="0" w:color="auto"/>
          </w:divBdr>
        </w:div>
        <w:div w:id="917832294">
          <w:marLeft w:val="0"/>
          <w:marRight w:val="0"/>
          <w:marTop w:val="0"/>
          <w:marBottom w:val="0"/>
          <w:divBdr>
            <w:top w:val="none" w:sz="0" w:space="0" w:color="auto"/>
            <w:left w:val="none" w:sz="0" w:space="0" w:color="auto"/>
            <w:bottom w:val="none" w:sz="0" w:space="0" w:color="auto"/>
            <w:right w:val="none" w:sz="0" w:space="0" w:color="auto"/>
          </w:divBdr>
        </w:div>
        <w:div w:id="1797139220">
          <w:marLeft w:val="0"/>
          <w:marRight w:val="0"/>
          <w:marTop w:val="0"/>
          <w:marBottom w:val="0"/>
          <w:divBdr>
            <w:top w:val="none" w:sz="0" w:space="0" w:color="auto"/>
            <w:left w:val="none" w:sz="0" w:space="0" w:color="auto"/>
            <w:bottom w:val="none" w:sz="0" w:space="0" w:color="auto"/>
            <w:right w:val="none" w:sz="0" w:space="0" w:color="auto"/>
          </w:divBdr>
        </w:div>
        <w:div w:id="2031638648">
          <w:marLeft w:val="0"/>
          <w:marRight w:val="0"/>
          <w:marTop w:val="0"/>
          <w:marBottom w:val="0"/>
          <w:divBdr>
            <w:top w:val="none" w:sz="0" w:space="0" w:color="auto"/>
            <w:left w:val="none" w:sz="0" w:space="0" w:color="auto"/>
            <w:bottom w:val="none" w:sz="0" w:space="0" w:color="auto"/>
            <w:right w:val="none" w:sz="0" w:space="0" w:color="auto"/>
          </w:divBdr>
        </w:div>
        <w:div w:id="563832260">
          <w:marLeft w:val="0"/>
          <w:marRight w:val="0"/>
          <w:marTop w:val="0"/>
          <w:marBottom w:val="0"/>
          <w:divBdr>
            <w:top w:val="none" w:sz="0" w:space="0" w:color="auto"/>
            <w:left w:val="none" w:sz="0" w:space="0" w:color="auto"/>
            <w:bottom w:val="none" w:sz="0" w:space="0" w:color="auto"/>
            <w:right w:val="none" w:sz="0" w:space="0" w:color="auto"/>
          </w:divBdr>
        </w:div>
        <w:div w:id="860321792">
          <w:marLeft w:val="0"/>
          <w:marRight w:val="0"/>
          <w:marTop w:val="0"/>
          <w:marBottom w:val="0"/>
          <w:divBdr>
            <w:top w:val="none" w:sz="0" w:space="0" w:color="auto"/>
            <w:left w:val="none" w:sz="0" w:space="0" w:color="auto"/>
            <w:bottom w:val="none" w:sz="0" w:space="0" w:color="auto"/>
            <w:right w:val="none" w:sz="0" w:space="0" w:color="auto"/>
          </w:divBdr>
        </w:div>
        <w:div w:id="11147177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4bcc4a9-cc10-4ff7-8928-7e6b0d311823" xsi:nil="true"/>
    <lcf76f155ced4ddcb4097134ff3c332f xmlns="e21a223e-eab5-445b-84c4-000e4c39407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8C7E663ED771D4FACB4186CBED9F98E" ma:contentTypeVersion="14" ma:contentTypeDescription="Create a new document." ma:contentTypeScope="" ma:versionID="395eedf714ad07d2b17d8f8a24362c7f">
  <xsd:schema xmlns:xsd="http://www.w3.org/2001/XMLSchema" xmlns:xs="http://www.w3.org/2001/XMLSchema" xmlns:p="http://schemas.microsoft.com/office/2006/metadata/properties" xmlns:ns2="e21a223e-eab5-445b-84c4-000e4c394078" xmlns:ns3="f4bcc4a9-cc10-4ff7-8928-7e6b0d311823" targetNamespace="http://schemas.microsoft.com/office/2006/metadata/properties" ma:root="true" ma:fieldsID="31e2d7b5616f03fb2421c62d2b422333" ns2:_="" ns3:_="">
    <xsd:import namespace="e21a223e-eab5-445b-84c4-000e4c394078"/>
    <xsd:import namespace="f4bcc4a9-cc10-4ff7-8928-7e6b0d3118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1a223e-eab5-445b-84c4-000e4c3940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40675bf-7926-4430-9502-e5f22041dba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4bcc4a9-cc10-4ff7-8928-7e6b0d31182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cdc3be3-2661-40cb-95f0-aa5131d0fe82}" ma:internalName="TaxCatchAll" ma:showField="CatchAllData" ma:web="f4bcc4a9-cc10-4ff7-8928-7e6b0d31182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CD9AFF-1F20-42B2-BA4A-DE7A3783C1A7}">
  <ds:schemaRefs>
    <ds:schemaRef ds:uri="http://schemas.microsoft.com/office/2006/metadata/properties"/>
    <ds:schemaRef ds:uri="http://schemas.microsoft.com/office/infopath/2007/PartnerControls"/>
    <ds:schemaRef ds:uri="f4bcc4a9-cc10-4ff7-8928-7e6b0d311823"/>
    <ds:schemaRef ds:uri="e21a223e-eab5-445b-84c4-000e4c394078"/>
  </ds:schemaRefs>
</ds:datastoreItem>
</file>

<file path=customXml/itemProps2.xml><?xml version="1.0" encoding="utf-8"?>
<ds:datastoreItem xmlns:ds="http://schemas.openxmlformats.org/officeDocument/2006/customXml" ds:itemID="{E01731AD-7539-4FE7-84D0-A02C1BC6A9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1a223e-eab5-445b-84c4-000e4c394078"/>
    <ds:schemaRef ds:uri="f4bcc4a9-cc10-4ff7-8928-7e6b0d3118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D66416-26E4-4049-991D-18BC2BFE378F}">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Finance Authority of Maine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Bert Audette</dc:creator>
  <keywords/>
  <dc:description/>
  <lastModifiedBy>Tom Ford</lastModifiedBy>
  <revision>3</revision>
  <lastPrinted>2021-07-23T17:46:00.0000000Z</lastPrinted>
  <dcterms:created xsi:type="dcterms:W3CDTF">2025-06-12T19:24:00.0000000Z</dcterms:created>
  <dcterms:modified xsi:type="dcterms:W3CDTF">2025-06-24T18:48:23.6165704Z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0x010100F8C7E663ED771D4FACB4186CBED9F98E</vt:lpwstr>
  </property>
  <property fmtid="{D5CDD505-2E9C-101B-9397-08002B2CF9AE}" pid="3" name="MSIP_Label_24995ef0-83dc-4dec-936c-e89034962bc2_Enabled">
    <vt:lpwstr>true</vt:lpwstr>
  </property>
  <property fmtid="{D5CDD505-2E9C-101B-9397-08002B2CF9AE}" pid="4" name="MSIP_Label_24995ef0-83dc-4dec-936c-e89034962bc2_SetDate">
    <vt:lpwstr>2025-03-27T12:05:19Z</vt:lpwstr>
  </property>
  <property fmtid="{D5CDD505-2E9C-101B-9397-08002B2CF9AE}" pid="5" name="MSIP_Label_24995ef0-83dc-4dec-936c-e89034962bc2_Method">
    <vt:lpwstr>Standard</vt:lpwstr>
  </property>
  <property fmtid="{D5CDD505-2E9C-101B-9397-08002B2CF9AE}" pid="6" name="MSIP_Label_24995ef0-83dc-4dec-936c-e89034962bc2_Name">
    <vt:lpwstr>General Use</vt:lpwstr>
  </property>
  <property fmtid="{D5CDD505-2E9C-101B-9397-08002B2CF9AE}" pid="7" name="MSIP_Label_24995ef0-83dc-4dec-936c-e89034962bc2_SiteId">
    <vt:lpwstr>5b411604-c8b2-4bc9-9a23-2ff6dbb45780</vt:lpwstr>
  </property>
  <property fmtid="{D5CDD505-2E9C-101B-9397-08002B2CF9AE}" pid="8" name="MSIP_Label_24995ef0-83dc-4dec-936c-e89034962bc2_ActionId">
    <vt:lpwstr>91766813-c35b-4550-a9fe-76dd6880cda5</vt:lpwstr>
  </property>
  <property fmtid="{D5CDD505-2E9C-101B-9397-08002B2CF9AE}" pid="9" name="MSIP_Label_24995ef0-83dc-4dec-936c-e89034962bc2_ContentBits">
    <vt:lpwstr>0</vt:lpwstr>
  </property>
  <property fmtid="{D5CDD505-2E9C-101B-9397-08002B2CF9AE}" pid="10" name="MSIP_Label_24995ef0-83dc-4dec-936c-e89034962bc2_Tag">
    <vt:lpwstr>10, 3, 0, 1</vt:lpwstr>
  </property>
  <property fmtid="{D5CDD505-2E9C-101B-9397-08002B2CF9AE}" pid="11" name="MediaServiceImageTags">
    <vt:lpwstr/>
  </property>
</Properties>
</file>